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B85C39" w:rsidRDefault="007715FD">
      <w:pPr>
        <w:tabs>
          <w:tab w:val="center" w:pos="4536"/>
          <w:tab w:val="right" w:pos="9072"/>
        </w:tabs>
        <w:spacing w:before="120" w:after="120"/>
        <w:rPr>
          <w:rFonts w:eastAsia="Batang"/>
          <w:b/>
          <w:sz w:val="24"/>
          <w:szCs w:val="24"/>
          <w:lang w:eastAsia="ja-JP"/>
        </w:rPr>
      </w:pPr>
      <w:r>
        <w:rPr>
          <w:rFonts w:eastAsia="Batang"/>
          <w:b/>
          <w:sz w:val="24"/>
          <w:szCs w:val="24"/>
          <w:lang w:eastAsia="ja-JP"/>
        </w:rPr>
        <w:t>3GPP TSG RAN WG1 #10</w:t>
      </w:r>
      <w:r>
        <w:rPr>
          <w:rFonts w:hint="eastAsia"/>
          <w:b/>
          <w:sz w:val="24"/>
          <w:szCs w:val="24"/>
        </w:rPr>
        <w:t>5</w:t>
      </w:r>
      <w:r>
        <w:rPr>
          <w:rFonts w:eastAsia="Batang"/>
          <w:b/>
          <w:sz w:val="24"/>
          <w:szCs w:val="24"/>
          <w:lang w:eastAsia="ja-JP"/>
        </w:rPr>
        <w:t>-e</w:t>
      </w:r>
      <w:r>
        <w:rPr>
          <w:rFonts w:eastAsia="Batang"/>
          <w:b/>
          <w:sz w:val="24"/>
          <w:szCs w:val="24"/>
          <w:lang w:eastAsia="ja-JP"/>
        </w:rPr>
        <w:tab/>
      </w:r>
      <w:r>
        <w:rPr>
          <w:rFonts w:eastAsia="Batang"/>
          <w:b/>
          <w:sz w:val="24"/>
          <w:szCs w:val="24"/>
          <w:lang w:eastAsia="ja-JP"/>
        </w:rPr>
        <w:tab/>
      </w:r>
      <w:bookmarkStart w:id="0" w:name="OLE_LINK3"/>
      <w:r>
        <w:rPr>
          <w:rFonts w:eastAsia="Batang"/>
          <w:b/>
          <w:sz w:val="24"/>
          <w:szCs w:val="24"/>
          <w:lang w:eastAsia="ja-JP"/>
        </w:rPr>
        <w:t xml:space="preserve">    </w:t>
      </w:r>
      <w:bookmarkEnd w:id="0"/>
      <w:r w:rsidR="00AB0A60" w:rsidRPr="00AB0A60">
        <w:rPr>
          <w:rFonts w:eastAsia="Batang"/>
          <w:b/>
          <w:sz w:val="24"/>
          <w:szCs w:val="24"/>
          <w:lang w:eastAsia="ja-JP"/>
        </w:rPr>
        <w:t>R1-2105649</w:t>
      </w:r>
    </w:p>
    <w:p w:rsidR="00B85C39" w:rsidRDefault="007715FD">
      <w:pPr>
        <w:tabs>
          <w:tab w:val="center" w:pos="4536"/>
          <w:tab w:val="right" w:pos="9072"/>
        </w:tabs>
        <w:spacing w:before="120" w:after="120"/>
        <w:rPr>
          <w:rFonts w:eastAsia="Batang"/>
          <w:b/>
          <w:sz w:val="24"/>
          <w:szCs w:val="24"/>
          <w:lang w:eastAsia="ja-JP"/>
        </w:rPr>
      </w:pPr>
      <w:r>
        <w:rPr>
          <w:rFonts w:eastAsia="Batang"/>
          <w:b/>
          <w:sz w:val="24"/>
          <w:szCs w:val="24"/>
          <w:lang w:eastAsia="ja-JP"/>
        </w:rPr>
        <w:t xml:space="preserve">e-Meeting, </w:t>
      </w:r>
      <w:r>
        <w:rPr>
          <w:rFonts w:hint="eastAsia"/>
          <w:b/>
          <w:sz w:val="24"/>
          <w:szCs w:val="24"/>
        </w:rPr>
        <w:t>May</w:t>
      </w:r>
      <w:r>
        <w:rPr>
          <w:rFonts w:eastAsia="Batang"/>
          <w:b/>
          <w:sz w:val="24"/>
          <w:szCs w:val="24"/>
          <w:lang w:eastAsia="ja-JP"/>
        </w:rPr>
        <w:t xml:space="preserve"> </w:t>
      </w:r>
      <w:r>
        <w:rPr>
          <w:rFonts w:hint="eastAsia"/>
          <w:b/>
          <w:sz w:val="24"/>
          <w:szCs w:val="24"/>
        </w:rPr>
        <w:t>10</w:t>
      </w:r>
      <w:r>
        <w:rPr>
          <w:rFonts w:eastAsia="Batang"/>
          <w:b/>
          <w:sz w:val="24"/>
          <w:szCs w:val="24"/>
          <w:vertAlign w:val="superscript"/>
          <w:lang w:eastAsia="ja-JP"/>
        </w:rPr>
        <w:t>th</w:t>
      </w:r>
      <w:r>
        <w:rPr>
          <w:rFonts w:eastAsia="Batang"/>
          <w:b/>
          <w:sz w:val="24"/>
          <w:szCs w:val="24"/>
          <w:lang w:eastAsia="ja-JP"/>
        </w:rPr>
        <w:t xml:space="preserve"> – </w:t>
      </w:r>
      <w:r>
        <w:rPr>
          <w:rFonts w:hint="eastAsia"/>
          <w:b/>
          <w:sz w:val="24"/>
          <w:szCs w:val="24"/>
        </w:rPr>
        <w:t>May 27</w:t>
      </w:r>
      <w:r>
        <w:rPr>
          <w:rFonts w:eastAsia="Batang"/>
          <w:b/>
          <w:sz w:val="24"/>
          <w:szCs w:val="24"/>
          <w:vertAlign w:val="superscript"/>
          <w:lang w:eastAsia="ja-JP"/>
        </w:rPr>
        <w:t>th</w:t>
      </w:r>
      <w:r>
        <w:rPr>
          <w:rFonts w:eastAsia="Batang"/>
          <w:b/>
          <w:sz w:val="24"/>
          <w:szCs w:val="24"/>
          <w:lang w:eastAsia="ja-JP"/>
        </w:rPr>
        <w:t>, 2021</w:t>
      </w:r>
    </w:p>
    <w:p w:rsidR="00B85C39" w:rsidRDefault="007715FD">
      <w:pPr>
        <w:tabs>
          <w:tab w:val="center" w:pos="4536"/>
          <w:tab w:val="right" w:pos="9072"/>
        </w:tabs>
        <w:spacing w:before="120" w:after="120"/>
        <w:rPr>
          <w:b/>
          <w:sz w:val="22"/>
          <w:szCs w:val="22"/>
        </w:rPr>
      </w:pPr>
      <w:r>
        <w:rPr>
          <w:b/>
          <w:sz w:val="22"/>
          <w:szCs w:val="22"/>
        </w:rPr>
        <w:tab/>
      </w:r>
    </w:p>
    <w:p w:rsidR="00B85C39" w:rsidRDefault="007715FD">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ZTE, Sanechips</w:t>
      </w:r>
    </w:p>
    <w:p w:rsidR="00B85C39" w:rsidRDefault="007715FD">
      <w:pPr>
        <w:tabs>
          <w:tab w:val="left" w:pos="1985"/>
        </w:tabs>
        <w:spacing w:before="120" w:after="120" w:line="240" w:lineRule="auto"/>
        <w:ind w:left="1980" w:hanging="1980"/>
        <w:rPr>
          <w:b/>
          <w:sz w:val="22"/>
          <w:szCs w:val="22"/>
        </w:rPr>
      </w:pPr>
      <w:r>
        <w:rPr>
          <w:b/>
          <w:sz w:val="22"/>
          <w:szCs w:val="22"/>
        </w:rPr>
        <w:t>Title:</w:t>
      </w:r>
      <w:r>
        <w:rPr>
          <w:b/>
          <w:sz w:val="22"/>
          <w:szCs w:val="22"/>
        </w:rPr>
        <w:tab/>
        <w:t>Discussion on LS about paging sub-grouping</w:t>
      </w:r>
    </w:p>
    <w:p w:rsidR="00B85C39" w:rsidRDefault="007715FD">
      <w:pPr>
        <w:tabs>
          <w:tab w:val="left" w:pos="1985"/>
        </w:tabs>
        <w:spacing w:before="120" w:after="120" w:line="240" w:lineRule="auto"/>
        <w:rPr>
          <w:b/>
          <w:sz w:val="22"/>
          <w:szCs w:val="22"/>
        </w:rPr>
      </w:pPr>
      <w:r>
        <w:rPr>
          <w:b/>
          <w:sz w:val="22"/>
          <w:szCs w:val="22"/>
          <w:lang w:val="pt-BR"/>
        </w:rPr>
        <w:t>Agenda item:</w:t>
      </w:r>
      <w:r>
        <w:rPr>
          <w:b/>
          <w:sz w:val="22"/>
          <w:szCs w:val="22"/>
          <w:lang w:val="pt-BR"/>
        </w:rPr>
        <w:tab/>
        <w:t>5</w:t>
      </w:r>
    </w:p>
    <w:p w:rsidR="00B85C39" w:rsidRDefault="007715FD">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B85C39" w:rsidRDefault="007715FD">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rsidR="00B85C39" w:rsidRDefault="007715FD">
      <w:pPr>
        <w:spacing w:before="120" w:after="120"/>
      </w:pPr>
      <w:r>
        <w:t>The following LS about UE sub-grouping was sent by RAN2 [1]</w:t>
      </w:r>
      <w:r>
        <w:rPr>
          <w:rFonts w:hint="eastAsia"/>
        </w:rPr>
        <w:t>.</w:t>
      </w:r>
      <w:r>
        <w:t xml:space="preserve">In addition to the UE sub-grouping mechanism adopted in RAN2, RAN2 also indicated that </w:t>
      </w:r>
      <w:r>
        <w:rPr>
          <w:color w:val="000000"/>
          <w:szCs w:val="21"/>
        </w:rPr>
        <w:t>the maximum number of UE subgroups per PO should be at least 8</w:t>
      </w:r>
      <w:r>
        <w:rPr>
          <w:rFonts w:hint="eastAsia"/>
        </w:rPr>
        <w:t>.</w:t>
      </w:r>
      <w:r>
        <w:t xml:space="preserve"> However, the final decision was left to RAN1.</w:t>
      </w:r>
      <w:r>
        <w:rPr>
          <w:rFonts w:hint="eastAsia"/>
        </w:rPr>
        <w:t xml:space="preserve"> </w:t>
      </w:r>
    </w:p>
    <w:p w:rsidR="00B85C39" w:rsidRDefault="007715FD">
      <w:pPr>
        <w:spacing w:before="120" w:after="120"/>
      </w:pPr>
      <w:r>
        <w:t xml:space="preserve">Hence, </w:t>
      </w:r>
      <w:r>
        <w:rPr>
          <w:rFonts w:hint="eastAsia"/>
        </w:rPr>
        <w:t>in this contribution,</w:t>
      </w:r>
      <w:r>
        <w:t xml:space="preserve"> the necessity of supporting </w:t>
      </w:r>
      <w:r>
        <w:rPr>
          <w:color w:val="000000"/>
          <w:szCs w:val="21"/>
        </w:rPr>
        <w:t>at least 8 sub-groups per PO and how to carry subgrouping information are analyzed.</w:t>
      </w:r>
      <w:r w:rsidR="0013275E">
        <w:rPr>
          <w:color w:val="000000"/>
          <w:szCs w:val="21"/>
        </w:rPr>
        <w:t xml:space="preserve"> And the draft reply to the RAN2 LS is also provided.</w:t>
      </w:r>
    </w:p>
    <w:tbl>
      <w:tblPr>
        <w:tblStyle w:val="ab"/>
        <w:tblW w:w="0" w:type="auto"/>
        <w:tblInd w:w="250" w:type="dxa"/>
        <w:tblLook w:val="04A0" w:firstRow="1" w:lastRow="0" w:firstColumn="1" w:lastColumn="0" w:noHBand="0" w:noVBand="1"/>
      </w:tblPr>
      <w:tblGrid>
        <w:gridCol w:w="9356"/>
      </w:tblGrid>
      <w:tr w:rsidR="00B85C39" w:rsidTr="0013275E">
        <w:tc>
          <w:tcPr>
            <w:tcW w:w="9356" w:type="dxa"/>
          </w:tcPr>
          <w:p w:rsidR="00B85C39" w:rsidRDefault="007715FD">
            <w:pPr>
              <w:spacing w:beforeLines="0" w:afterLines="0"/>
              <w:rPr>
                <w:color w:val="000000"/>
                <w:szCs w:val="21"/>
              </w:rPr>
            </w:pPr>
            <w:r>
              <w:rPr>
                <w:b/>
                <w:color w:val="000000"/>
                <w:szCs w:val="21"/>
              </w:rPr>
              <w:t xml:space="preserve">1. Overall Description: </w:t>
            </w:r>
          </w:p>
          <w:p w:rsidR="00B85C39" w:rsidRDefault="007715FD">
            <w:pPr>
              <w:spacing w:beforeLines="0" w:afterLines="0"/>
              <w:rPr>
                <w:color w:val="000000"/>
                <w:szCs w:val="21"/>
              </w:rPr>
            </w:pPr>
            <w:r>
              <w:rPr>
                <w:color w:val="000000"/>
                <w:szCs w:val="21"/>
              </w:rPr>
              <w:t xml:space="preserve">RAN2 would like to thank RAN1 for their LS on UE sub-grouping for paging enhancements. RAN2 discussed this topic and agreed to the following: </w:t>
            </w:r>
          </w:p>
          <w:p w:rsidR="00B85C39" w:rsidRDefault="007715FD">
            <w:pPr>
              <w:numPr>
                <w:ilvl w:val="0"/>
                <w:numId w:val="8"/>
              </w:numPr>
              <w:spacing w:beforeLines="0" w:afterLines="0"/>
              <w:rPr>
                <w:color w:val="000000"/>
                <w:szCs w:val="21"/>
              </w:rPr>
            </w:pPr>
            <w:r>
              <w:rPr>
                <w:color w:val="000000"/>
                <w:szCs w:val="21"/>
              </w:rPr>
              <w:t xml:space="preserve">We adopt network controlled subgrouping (based on individual UE characteristics, not specified or limited to paging probability as EUTRA, possibly with additional randomization). </w:t>
            </w:r>
          </w:p>
          <w:p w:rsidR="00B85C39" w:rsidRDefault="007715FD">
            <w:pPr>
              <w:numPr>
                <w:ilvl w:val="0"/>
                <w:numId w:val="8"/>
              </w:numPr>
              <w:spacing w:beforeLines="0" w:afterLines="0"/>
              <w:rPr>
                <w:color w:val="000000"/>
                <w:szCs w:val="21"/>
              </w:rPr>
            </w:pPr>
            <w:r>
              <w:rPr>
                <w:color w:val="000000"/>
                <w:szCs w:val="21"/>
              </w:rPr>
              <w:t xml:space="preserve">If the network chooses to not provide specific subgrouping information, there will be configuration option where subgrouping can be supported by randomization (by UE-ID). </w:t>
            </w:r>
          </w:p>
          <w:p w:rsidR="00B85C39" w:rsidRDefault="007715FD">
            <w:pPr>
              <w:numPr>
                <w:ilvl w:val="0"/>
                <w:numId w:val="8"/>
              </w:numPr>
              <w:spacing w:beforeLines="0" w:afterLines="0"/>
              <w:rPr>
                <w:color w:val="000000"/>
                <w:szCs w:val="21"/>
              </w:rPr>
            </w:pPr>
            <w:r>
              <w:rPr>
                <w:color w:val="000000"/>
                <w:szCs w:val="21"/>
              </w:rPr>
              <w:t xml:space="preserve">RAN2 also briefly discussed the number of UE subgroups per PO, and, considering it depends on which and how many UE characteristics above network controlled subgrouping will support, RAN2 could only provide an indication that the maximum number of UE subgroups per PO should be at least 8. However, RAN2 understands that it should also depend on observed power saving gain and the signalling method for indicating the subgroups (PEI and/or paging DCI) and so, potentially on the PEI design itself, therefore RAN2 leaves it to RAN1 to decide the final value. </w:t>
            </w:r>
          </w:p>
          <w:p w:rsidR="00B85C39" w:rsidRDefault="00B85C39">
            <w:pPr>
              <w:spacing w:beforeLines="0" w:afterLines="0"/>
              <w:rPr>
                <w:color w:val="000000"/>
                <w:szCs w:val="21"/>
              </w:rPr>
            </w:pPr>
          </w:p>
          <w:p w:rsidR="00B85C39" w:rsidRDefault="007715FD">
            <w:pPr>
              <w:spacing w:beforeLines="0" w:afterLines="0"/>
              <w:rPr>
                <w:color w:val="000000"/>
                <w:szCs w:val="21"/>
              </w:rPr>
            </w:pPr>
            <w:r>
              <w:rPr>
                <w:b/>
                <w:color w:val="000000"/>
                <w:szCs w:val="21"/>
              </w:rPr>
              <w:t xml:space="preserve">2. Actions: </w:t>
            </w:r>
          </w:p>
          <w:p w:rsidR="00B85C39" w:rsidRDefault="007715FD">
            <w:pPr>
              <w:spacing w:beforeLines="0" w:afterLines="0"/>
              <w:rPr>
                <w:color w:val="000000"/>
                <w:szCs w:val="21"/>
              </w:rPr>
            </w:pPr>
            <w:r>
              <w:rPr>
                <w:b/>
                <w:color w:val="000000"/>
                <w:szCs w:val="21"/>
              </w:rPr>
              <w:t xml:space="preserve">To RAN1: </w:t>
            </w:r>
          </w:p>
          <w:p w:rsidR="00B85C39" w:rsidRDefault="007715FD">
            <w:pPr>
              <w:spacing w:before="120" w:after="120"/>
            </w:pPr>
            <w:r>
              <w:rPr>
                <w:color w:val="000000"/>
                <w:szCs w:val="21"/>
              </w:rPr>
              <w:t xml:space="preserve">RAN2 respectfully asks RAN1 to take the above information into account for RAN1’s future work. </w:t>
            </w:r>
          </w:p>
        </w:tc>
      </w:tr>
    </w:tbl>
    <w:p w:rsidR="00B85C39" w:rsidRDefault="00B85C39">
      <w:pPr>
        <w:spacing w:before="120" w:after="120"/>
      </w:pPr>
    </w:p>
    <w:p w:rsidR="00B85C39" w:rsidRDefault="007715FD">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UE sub-grouping</w:t>
      </w:r>
    </w:p>
    <w:p w:rsidR="00B85C39" w:rsidRDefault="007715FD">
      <w:pPr>
        <w:spacing w:before="120" w:after="120" w:line="260" w:lineRule="auto"/>
        <w:rPr>
          <w:rFonts w:eastAsiaTheme="minorEastAsia"/>
          <w:bCs/>
          <w:iCs/>
          <w:szCs w:val="21"/>
          <w:lang w:val="en-GB" w:eastAsia="en-US"/>
        </w:rPr>
      </w:pPr>
      <w:r>
        <w:rPr>
          <w:rFonts w:eastAsiaTheme="minorEastAsia"/>
          <w:bCs/>
          <w:iCs/>
          <w:szCs w:val="21"/>
          <w:lang w:val="en-GB" w:eastAsia="en-US"/>
        </w:rPr>
        <w:t xml:space="preserve">For </w:t>
      </w:r>
      <w:bookmarkStart w:id="1" w:name="OLE_LINK1"/>
      <w:bookmarkStart w:id="2" w:name="OLE_LINK2"/>
      <w:r>
        <w:rPr>
          <w:rFonts w:eastAsiaTheme="minorEastAsia"/>
          <w:bCs/>
          <w:iCs/>
          <w:szCs w:val="21"/>
          <w:lang w:val="en-GB" w:eastAsia="en-US"/>
        </w:rPr>
        <w:t>RRC idle/inactive mode</w:t>
      </w:r>
      <w:bookmarkEnd w:id="1"/>
      <w:bookmarkEnd w:id="2"/>
      <w:r>
        <w:rPr>
          <w:rFonts w:eastAsiaTheme="minorEastAsia"/>
          <w:bCs/>
          <w:iCs/>
          <w:szCs w:val="21"/>
          <w:lang w:val="en-GB" w:eastAsia="en-US"/>
        </w:rPr>
        <w:t xml:space="preserve">, UE needs to monitor paging occasions (PO) to check whether there is paging DCI or not in each paging cycle. If the PDCCH is successfully decoded, UE receives the PDSCH to check whether it is paged or not. When the UE is not paged, the unnecessary reception of paging DCI and the SSB processing for synchronization causes a lot of power consumption. </w:t>
      </w:r>
    </w:p>
    <w:p w:rsidR="00B85C39" w:rsidRDefault="007715FD">
      <w:pPr>
        <w:spacing w:before="120" w:after="120" w:line="260" w:lineRule="auto"/>
        <w:rPr>
          <w:rFonts w:eastAsiaTheme="minorEastAsia"/>
          <w:bCs/>
          <w:iCs/>
          <w:szCs w:val="21"/>
          <w:lang w:val="en-GB" w:eastAsia="en-US"/>
        </w:rPr>
      </w:pPr>
      <w:r>
        <w:rPr>
          <w:rFonts w:eastAsiaTheme="minorEastAsia"/>
          <w:bCs/>
          <w:iCs/>
          <w:szCs w:val="21"/>
          <w:lang w:val="en-GB" w:eastAsia="en-US"/>
        </w:rPr>
        <w:t xml:space="preserve">In previous meetings, some potential paging enhancement schemes such as PEI (paging early indication), sub-grouping for paging were discussed. The PEI can be used to inform UE whether the UE need to monitor the paging DCI or not in the subsequent PO. If the PEI indicates “no paging message”, UE can skip the unnecessary </w:t>
      </w:r>
      <w:r>
        <w:rPr>
          <w:rFonts w:eastAsiaTheme="minorEastAsia"/>
          <w:bCs/>
          <w:iCs/>
          <w:szCs w:val="21"/>
          <w:lang w:val="en-GB" w:eastAsia="en-US"/>
        </w:rPr>
        <w:lastRenderedPageBreak/>
        <w:t xml:space="preserve">operations including PDCCH/PDSCH reception and SSB processing. Meanwhile, the sub-grouping information carried by PEI or paging DCI can be used to further reduce the paging PDCCH/PDSCH reception. </w:t>
      </w:r>
    </w:p>
    <w:p w:rsidR="00B85C39" w:rsidRDefault="007715FD">
      <w:pPr>
        <w:spacing w:before="120" w:after="120" w:line="260" w:lineRule="auto"/>
        <w:rPr>
          <w:szCs w:val="21"/>
          <w:lang w:val="en-GB"/>
        </w:rPr>
      </w:pPr>
      <w:r>
        <w:rPr>
          <w:szCs w:val="21"/>
          <w:lang w:val="en-GB"/>
        </w:rPr>
        <w:t xml:space="preserve">In the following section, the power saving gain from sub-grouping combined with PEI and sub-grouping combined with paging DCI are discussed. </w:t>
      </w:r>
    </w:p>
    <w:p w:rsidR="00B85C39" w:rsidRDefault="007715FD">
      <w:pPr>
        <w:spacing w:before="120" w:after="120" w:line="260" w:lineRule="auto"/>
        <w:rPr>
          <w:szCs w:val="21"/>
          <w:lang w:val="en-GB"/>
        </w:rPr>
      </w:pPr>
      <w:r>
        <w:rPr>
          <w:szCs w:val="21"/>
          <w:lang w:val="en-GB"/>
        </w:rPr>
        <w:t>Note the power saving gain is relevant to multiple factors such as pagin</w:t>
      </w:r>
      <w:r>
        <w:rPr>
          <w:rFonts w:hint="eastAsia"/>
          <w:szCs w:val="21"/>
        </w:rPr>
        <w:t>g</w:t>
      </w:r>
      <w:r>
        <w:rPr>
          <w:szCs w:val="21"/>
          <w:lang w:val="en-GB"/>
        </w:rPr>
        <w:t xml:space="preserve"> rate per PO, UE processing timeline in </w:t>
      </w:r>
      <w:r>
        <w:rPr>
          <w:rFonts w:eastAsiaTheme="minorEastAsia"/>
          <w:bCs/>
          <w:iCs/>
          <w:szCs w:val="21"/>
          <w:lang w:val="en-GB" w:eastAsia="en-US"/>
        </w:rPr>
        <w:t>RRC idle/inactive mode, etc.</w:t>
      </w:r>
    </w:p>
    <w:p w:rsidR="00B85C39" w:rsidRDefault="007715FD">
      <w:pPr>
        <w:spacing w:before="120" w:after="120" w:line="260" w:lineRule="auto"/>
        <w:rPr>
          <w:szCs w:val="21"/>
        </w:rPr>
      </w:pPr>
      <w:r>
        <w:rPr>
          <w:szCs w:val="21"/>
          <w:lang w:val="en-GB"/>
        </w:rPr>
        <w:t>T</w:t>
      </w:r>
      <w:r>
        <w:rPr>
          <w:szCs w:val="21"/>
        </w:rPr>
        <w:t xml:space="preserve">he paging rate per PO is highly dependent on the network deployment. For example, in the case of a </w:t>
      </w:r>
      <w:r>
        <w:rPr>
          <w:rFonts w:hint="eastAsia"/>
          <w:szCs w:val="21"/>
        </w:rPr>
        <w:t>large number of low-cost/Redcap UEs and/or network configurations with few POs, the paging rate</w:t>
      </w:r>
      <w:r>
        <w:rPr>
          <w:szCs w:val="21"/>
        </w:rPr>
        <w:t xml:space="preserve"> </w:t>
      </w:r>
      <w:r>
        <w:rPr>
          <w:rFonts w:hint="eastAsia"/>
          <w:szCs w:val="21"/>
        </w:rPr>
        <w:t xml:space="preserve">per PO </w:t>
      </w:r>
      <w:r>
        <w:rPr>
          <w:szCs w:val="21"/>
        </w:rPr>
        <w:t>would be increased</w:t>
      </w:r>
      <w:r>
        <w:rPr>
          <w:rFonts w:hint="eastAsia"/>
          <w:szCs w:val="21"/>
        </w:rPr>
        <w:t>. According to the agreements in 3GPP TSG RAN1#103-e meeting</w:t>
      </w:r>
      <w:r>
        <w:rPr>
          <w:szCs w:val="21"/>
        </w:rPr>
        <w:t xml:space="preserve"> </w:t>
      </w:r>
      <w:r>
        <w:rPr>
          <w:rFonts w:hint="eastAsia"/>
          <w:szCs w:val="21"/>
        </w:rPr>
        <w:t xml:space="preserve">(shown </w:t>
      </w:r>
      <w:r>
        <w:rPr>
          <w:szCs w:val="21"/>
        </w:rPr>
        <w:t>as</w:t>
      </w:r>
      <w:r>
        <w:rPr>
          <w:rFonts w:hint="eastAsia"/>
          <w:szCs w:val="21"/>
        </w:rPr>
        <w:t xml:space="preserve"> below), group paging rate</w:t>
      </w:r>
      <w:r>
        <w:rPr>
          <w:szCs w:val="21"/>
        </w:rPr>
        <w:t xml:space="preserve"> </w:t>
      </w:r>
      <w:r>
        <w:rPr>
          <w:rFonts w:hint="eastAsia"/>
          <w:szCs w:val="21"/>
        </w:rPr>
        <w:t>per PO</w:t>
      </w:r>
      <w:r>
        <w:rPr>
          <w:szCs w:val="21"/>
        </w:rPr>
        <w:t xml:space="preserve"> of </w:t>
      </w:r>
      <w:r>
        <w:rPr>
          <w:rFonts w:hint="eastAsia"/>
          <w:szCs w:val="21"/>
        </w:rPr>
        <w:t>20%-60% should be considered</w:t>
      </w:r>
      <w:r>
        <w:rPr>
          <w:szCs w:val="21"/>
        </w:rPr>
        <w:t>[2]</w:t>
      </w:r>
      <w:r>
        <w:rPr>
          <w:rFonts w:hint="eastAsia"/>
          <w:szCs w:val="21"/>
        </w:rPr>
        <w:t>.</w:t>
      </w:r>
    </w:p>
    <w:tbl>
      <w:tblPr>
        <w:tblStyle w:val="ab"/>
        <w:tblW w:w="0" w:type="auto"/>
        <w:jc w:val="center"/>
        <w:tblLook w:val="04A0" w:firstRow="1" w:lastRow="0" w:firstColumn="1" w:lastColumn="0" w:noHBand="0" w:noVBand="1"/>
      </w:tblPr>
      <w:tblGrid>
        <w:gridCol w:w="9680"/>
      </w:tblGrid>
      <w:tr w:rsidR="00B85C39">
        <w:trPr>
          <w:jc w:val="center"/>
        </w:trPr>
        <w:tc>
          <w:tcPr>
            <w:tcW w:w="9680" w:type="dxa"/>
          </w:tcPr>
          <w:p w:rsidR="00B85C39" w:rsidRDefault="007715FD">
            <w:pPr>
              <w:spacing w:before="120" w:after="120"/>
              <w:rPr>
                <w:sz w:val="20"/>
                <w:highlight w:val="green"/>
              </w:rPr>
            </w:pPr>
            <w:r>
              <w:rPr>
                <w:sz w:val="20"/>
                <w:highlight w:val="green"/>
              </w:rPr>
              <w:t>Agreements:</w:t>
            </w:r>
          </w:p>
          <w:p w:rsidR="00B85C39" w:rsidRDefault="007715FD">
            <w:pPr>
              <w:spacing w:beforeLines="0" w:before="0" w:afterLines="0" w:after="0" w:line="276" w:lineRule="auto"/>
              <w:rPr>
                <w:rFonts w:eastAsia="Calibri"/>
                <w:sz w:val="20"/>
              </w:rPr>
            </w:pPr>
            <w:r>
              <w:rPr>
                <w:rFonts w:eastAsia="Calibri"/>
                <w:sz w:val="20"/>
              </w:rPr>
              <w:t>Observation: For NR idle/inactive-mode UEs, UE sub-grouping indication carried in paging early indication can provide the following power saving gains w.r.t Rel-16:</w:t>
            </w:r>
          </w:p>
          <w:p w:rsidR="00B85C39" w:rsidRDefault="007715FD">
            <w:pPr>
              <w:numPr>
                <w:ilvl w:val="0"/>
                <w:numId w:val="9"/>
              </w:numPr>
              <w:spacing w:beforeLines="0" w:before="0" w:afterLines="0" w:after="0" w:line="276" w:lineRule="auto"/>
              <w:rPr>
                <w:sz w:val="20"/>
              </w:rPr>
            </w:pPr>
            <w:r>
              <w:rPr>
                <w:sz w:val="20"/>
              </w:rPr>
              <w:t xml:space="preserve">If the original group paging rate is 10%: </w:t>
            </w:r>
          </w:p>
          <w:p w:rsidR="00B85C39" w:rsidRDefault="007715FD">
            <w:pPr>
              <w:numPr>
                <w:ilvl w:val="1"/>
                <w:numId w:val="9"/>
              </w:numPr>
              <w:spacing w:beforeLines="0" w:before="0" w:afterLines="0" w:after="0" w:line="276" w:lineRule="auto"/>
              <w:rPr>
                <w:sz w:val="20"/>
              </w:rPr>
            </w:pPr>
            <w:r>
              <w:rPr>
                <w:sz w:val="20"/>
              </w:rPr>
              <w:t>[10.6%] –[19.1%] where the baseline assumes 1 SS burst for synchronization before PO reception</w:t>
            </w:r>
          </w:p>
          <w:p w:rsidR="00B85C39" w:rsidRDefault="007715FD">
            <w:pPr>
              <w:numPr>
                <w:ilvl w:val="1"/>
                <w:numId w:val="9"/>
              </w:numPr>
              <w:spacing w:beforeLines="0" w:before="0" w:afterLines="0" w:after="0" w:line="276" w:lineRule="auto"/>
              <w:rPr>
                <w:sz w:val="20"/>
              </w:rPr>
            </w:pPr>
            <w:r>
              <w:rPr>
                <w:sz w:val="20"/>
              </w:rPr>
              <w:t>[16.0%] –[36.0%] where the baseline assumes 2 SS bursts for synchronization before PO reception</w:t>
            </w:r>
          </w:p>
          <w:p w:rsidR="00B85C39" w:rsidRDefault="007715FD">
            <w:pPr>
              <w:numPr>
                <w:ilvl w:val="1"/>
                <w:numId w:val="9"/>
              </w:numPr>
              <w:spacing w:beforeLines="0" w:before="0" w:afterLines="0" w:after="0" w:line="276" w:lineRule="auto"/>
              <w:rPr>
                <w:sz w:val="20"/>
              </w:rPr>
            </w:pPr>
            <w:r>
              <w:rPr>
                <w:sz w:val="20"/>
              </w:rPr>
              <w:t>[14.3%] –[46.0%] where the baseline assumes 3 SS bursts for synchronization before PO reception</w:t>
            </w:r>
          </w:p>
          <w:p w:rsidR="00B85C39" w:rsidRDefault="007715FD">
            <w:pPr>
              <w:numPr>
                <w:ilvl w:val="0"/>
                <w:numId w:val="9"/>
              </w:numPr>
              <w:spacing w:beforeLines="0" w:before="0" w:afterLines="0" w:after="0" w:line="276" w:lineRule="auto"/>
              <w:rPr>
                <w:sz w:val="20"/>
              </w:rPr>
            </w:pPr>
            <w:r>
              <w:rPr>
                <w:sz w:val="20"/>
              </w:rPr>
              <w:t>Some sources also evaluated performance if the original group paging rate is in the range between 20% and 60% and showed following results:</w:t>
            </w:r>
            <w:r>
              <w:rPr>
                <w:rStyle w:val="apple-converted-space"/>
                <w:sz w:val="20"/>
              </w:rPr>
              <w:t> </w:t>
            </w:r>
            <w:r>
              <w:rPr>
                <w:sz w:val="20"/>
              </w:rPr>
              <w:t xml:space="preserve"> </w:t>
            </w:r>
          </w:p>
          <w:p w:rsidR="00B85C39" w:rsidRDefault="007715FD">
            <w:pPr>
              <w:numPr>
                <w:ilvl w:val="1"/>
                <w:numId w:val="9"/>
              </w:numPr>
              <w:spacing w:beforeLines="0" w:before="0" w:afterLines="0" w:after="0" w:line="276" w:lineRule="auto"/>
              <w:rPr>
                <w:sz w:val="20"/>
              </w:rPr>
            </w:pPr>
            <w:r>
              <w:rPr>
                <w:sz w:val="20"/>
              </w:rPr>
              <w:t>[8.0%] –[19.1%] where the baseline assumes 1 SS burst for synchronization before PO reception</w:t>
            </w:r>
          </w:p>
          <w:p w:rsidR="00B85C39" w:rsidRDefault="007715FD">
            <w:pPr>
              <w:numPr>
                <w:ilvl w:val="1"/>
                <w:numId w:val="9"/>
              </w:numPr>
              <w:spacing w:beforeLines="0" w:before="0" w:afterLines="0" w:after="0" w:line="276" w:lineRule="auto"/>
              <w:rPr>
                <w:sz w:val="20"/>
              </w:rPr>
            </w:pPr>
            <w:r>
              <w:rPr>
                <w:sz w:val="20"/>
              </w:rPr>
              <w:t>[18.1%] –[34.0%] where the baseline assumes 2 SS bursts for synchronization before PO reception</w:t>
            </w:r>
          </w:p>
          <w:p w:rsidR="00B85C39" w:rsidRDefault="007715FD">
            <w:pPr>
              <w:numPr>
                <w:ilvl w:val="1"/>
                <w:numId w:val="9"/>
              </w:numPr>
              <w:spacing w:beforeLines="0" w:before="0" w:afterLines="0" w:after="0" w:line="276" w:lineRule="auto"/>
              <w:rPr>
                <w:sz w:val="20"/>
              </w:rPr>
            </w:pPr>
            <w:r>
              <w:rPr>
                <w:sz w:val="20"/>
              </w:rPr>
              <w:t>[20.6%] –[42.0%] where the baseline assumes 3 SS bursts for synchronization before PO reception</w:t>
            </w:r>
          </w:p>
          <w:p w:rsidR="00B85C39" w:rsidRDefault="00B85C39">
            <w:pPr>
              <w:spacing w:before="120" w:after="120" w:line="260" w:lineRule="auto"/>
            </w:pPr>
          </w:p>
        </w:tc>
      </w:tr>
    </w:tbl>
    <w:p w:rsidR="00B85C39" w:rsidRDefault="007715FD">
      <w:pPr>
        <w:pStyle w:val="YJ-Observation"/>
        <w:spacing w:before="120" w:after="120" w:line="260" w:lineRule="auto"/>
        <w:jc w:val="both"/>
        <w:rPr>
          <w:i w:val="0"/>
          <w:sz w:val="21"/>
          <w:szCs w:val="21"/>
        </w:rPr>
      </w:pPr>
      <w:bookmarkStart w:id="3" w:name="_Toc71571241"/>
      <w:r>
        <w:rPr>
          <w:rFonts w:hint="eastAsia"/>
          <w:i w:val="0"/>
          <w:sz w:val="21"/>
          <w:szCs w:val="21"/>
        </w:rPr>
        <w:t>Group paging rate</w:t>
      </w:r>
      <w:r>
        <w:rPr>
          <w:i w:val="0"/>
          <w:sz w:val="21"/>
          <w:szCs w:val="21"/>
        </w:rPr>
        <w:t xml:space="preserve"> </w:t>
      </w:r>
      <w:r>
        <w:rPr>
          <w:rFonts w:hint="eastAsia"/>
          <w:i w:val="0"/>
          <w:sz w:val="21"/>
          <w:szCs w:val="21"/>
        </w:rPr>
        <w:t>per PO</w:t>
      </w:r>
      <w:r>
        <w:rPr>
          <w:i w:val="0"/>
          <w:sz w:val="21"/>
          <w:szCs w:val="21"/>
        </w:rPr>
        <w:t xml:space="preserve"> of </w:t>
      </w:r>
      <w:r>
        <w:rPr>
          <w:rFonts w:hint="eastAsia"/>
          <w:i w:val="0"/>
          <w:sz w:val="21"/>
          <w:szCs w:val="21"/>
        </w:rPr>
        <w:t>20%-60% should be considered</w:t>
      </w:r>
      <w:r>
        <w:rPr>
          <w:i w:val="0"/>
          <w:sz w:val="21"/>
          <w:szCs w:val="21"/>
        </w:rPr>
        <w:t xml:space="preserve"> in addition to group paging rate of 10%</w:t>
      </w:r>
      <w:r>
        <w:rPr>
          <w:rFonts w:hint="eastAsia"/>
          <w:i w:val="0"/>
          <w:sz w:val="21"/>
          <w:szCs w:val="21"/>
        </w:rPr>
        <w:t>.</w:t>
      </w:r>
      <w:bookmarkEnd w:id="3"/>
    </w:p>
    <w:p w:rsidR="00B85C39" w:rsidRDefault="007715FD">
      <w:pPr>
        <w:spacing w:before="120" w:after="120" w:line="260" w:lineRule="auto"/>
        <w:rPr>
          <w:szCs w:val="21"/>
          <w:lang w:val="en-GB"/>
        </w:rPr>
      </w:pPr>
      <w:r>
        <w:rPr>
          <w:szCs w:val="21"/>
          <w:lang w:val="en-GB"/>
        </w:rPr>
        <w:t xml:space="preserve">The UE processing timeline is determined by the UE types (such as Redcap UE or eMBB UE), channel condition, number of receiving antenna, etc. In this contribution, we </w:t>
      </w:r>
      <w:r w:rsidR="0013275E">
        <w:rPr>
          <w:szCs w:val="21"/>
          <w:lang w:val="en-GB"/>
        </w:rPr>
        <w:t>analyse</w:t>
      </w:r>
      <w:r>
        <w:rPr>
          <w:szCs w:val="21"/>
          <w:lang w:val="en-GB"/>
        </w:rPr>
        <w:t xml:space="preserve"> the power saving gain of sub-grouping in the cases that </w:t>
      </w:r>
      <w:r>
        <w:rPr>
          <w:szCs w:val="21"/>
        </w:rPr>
        <w:t xml:space="preserve">two </w:t>
      </w:r>
      <w:r>
        <w:rPr>
          <w:szCs w:val="21"/>
          <w:lang w:val="en-GB"/>
        </w:rPr>
        <w:t xml:space="preserve">SSBs </w:t>
      </w:r>
      <w:r>
        <w:rPr>
          <w:rFonts w:hint="eastAsia"/>
          <w:szCs w:val="21"/>
          <w:lang w:val="en-GB"/>
        </w:rPr>
        <w:t xml:space="preserve">and </w:t>
      </w:r>
      <w:r>
        <w:rPr>
          <w:szCs w:val="21"/>
          <w:lang w:val="en-GB"/>
        </w:rPr>
        <w:t xml:space="preserve">three SSBs are processed before PO. </w:t>
      </w:r>
    </w:p>
    <w:p w:rsidR="00B85C39" w:rsidRDefault="007715FD">
      <w:pPr>
        <w:spacing w:before="120" w:after="120" w:line="260" w:lineRule="auto"/>
        <w:jc w:val="center"/>
        <w:rPr>
          <w:szCs w:val="21"/>
        </w:rPr>
      </w:pPr>
      <w:r>
        <w:rPr>
          <w:noProof/>
          <w:szCs w:val="21"/>
        </w:rPr>
        <w:drawing>
          <wp:inline distT="0" distB="0" distL="114300" distR="114300">
            <wp:extent cx="3790315" cy="1316355"/>
            <wp:effectExtent l="0" t="0" r="0" b="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pic:cNvPicPr>
                      <a:picLocks noChangeAspect="1"/>
                    </pic:cNvPicPr>
                  </pic:nvPicPr>
                  <pic:blipFill>
                    <a:blip r:embed="rId9"/>
                    <a:stretch>
                      <a:fillRect/>
                    </a:stretch>
                  </pic:blipFill>
                  <pic:spPr>
                    <a:xfrm>
                      <a:off x="0" y="0"/>
                      <a:ext cx="3790315" cy="1316355"/>
                    </a:xfrm>
                    <a:prstGeom prst="rect">
                      <a:avLst/>
                    </a:prstGeom>
                    <a:noFill/>
                    <a:ln>
                      <a:noFill/>
                    </a:ln>
                  </pic:spPr>
                </pic:pic>
              </a:graphicData>
            </a:graphic>
          </wp:inline>
        </w:drawing>
      </w:r>
    </w:p>
    <w:p w:rsidR="00B85C39" w:rsidRDefault="007715FD">
      <w:pPr>
        <w:spacing w:before="120" w:after="120" w:line="260" w:lineRule="auto"/>
        <w:jc w:val="center"/>
        <w:rPr>
          <w:szCs w:val="21"/>
        </w:rPr>
      </w:pPr>
      <w:r>
        <w:rPr>
          <w:szCs w:val="21"/>
        </w:rPr>
        <w:t>Figure 1 UE processing timeline with two SSBs before PO</w:t>
      </w:r>
    </w:p>
    <w:p w:rsidR="00B85C39" w:rsidRDefault="007715FD">
      <w:pPr>
        <w:spacing w:before="120" w:after="120"/>
        <w:jc w:val="center"/>
      </w:pPr>
      <w:r>
        <w:rPr>
          <w:noProof/>
        </w:rPr>
        <w:lastRenderedPageBreak/>
        <w:drawing>
          <wp:inline distT="0" distB="0" distL="114300" distR="114300">
            <wp:extent cx="4384675" cy="1445895"/>
            <wp:effectExtent l="0" t="0" r="0" b="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0"/>
                    <a:stretch>
                      <a:fillRect/>
                    </a:stretch>
                  </pic:blipFill>
                  <pic:spPr>
                    <a:xfrm>
                      <a:off x="0" y="0"/>
                      <a:ext cx="4384675" cy="1445895"/>
                    </a:xfrm>
                    <a:prstGeom prst="rect">
                      <a:avLst/>
                    </a:prstGeom>
                    <a:noFill/>
                    <a:ln>
                      <a:noFill/>
                    </a:ln>
                  </pic:spPr>
                </pic:pic>
              </a:graphicData>
            </a:graphic>
          </wp:inline>
        </w:drawing>
      </w:r>
    </w:p>
    <w:p w:rsidR="00B85C39" w:rsidRDefault="007715FD">
      <w:pPr>
        <w:spacing w:before="120" w:after="120"/>
        <w:jc w:val="center"/>
        <w:rPr>
          <w:szCs w:val="21"/>
        </w:rPr>
      </w:pPr>
      <w:r>
        <w:rPr>
          <w:szCs w:val="21"/>
        </w:rPr>
        <w:t>Figure 2 UE processing timeline with three SSBs before PO</w:t>
      </w:r>
    </w:p>
    <w:p w:rsidR="00B85C39" w:rsidRDefault="00B85C39">
      <w:pPr>
        <w:spacing w:before="120" w:after="120" w:line="260" w:lineRule="auto"/>
        <w:rPr>
          <w:szCs w:val="21"/>
        </w:rPr>
      </w:pPr>
    </w:p>
    <w:p w:rsidR="00B85C39" w:rsidRDefault="007715FD">
      <w:pPr>
        <w:spacing w:before="120" w:after="120" w:line="260" w:lineRule="auto"/>
        <w:rPr>
          <w:szCs w:val="21"/>
        </w:rPr>
      </w:pPr>
      <w:r>
        <w:rPr>
          <w:rFonts w:hint="eastAsia"/>
          <w:szCs w:val="21"/>
          <w:lang w:val="en-GB"/>
        </w:rPr>
        <w:t>T</w:t>
      </w:r>
      <w:r>
        <w:rPr>
          <w:szCs w:val="21"/>
          <w:lang w:val="en-GB"/>
        </w:rPr>
        <w:t>he</w:t>
      </w:r>
      <w:r>
        <w:rPr>
          <w:rFonts w:hint="eastAsia"/>
          <w:szCs w:val="21"/>
          <w:lang w:val="en-GB"/>
        </w:rPr>
        <w:t xml:space="preserve"> UE processing timeline </w:t>
      </w:r>
      <w:r>
        <w:rPr>
          <w:szCs w:val="21"/>
        </w:rPr>
        <w:t>with two SSBs and three SSBs before PO</w:t>
      </w:r>
      <w:r>
        <w:rPr>
          <w:rFonts w:hint="eastAsia"/>
          <w:szCs w:val="21"/>
          <w:lang w:val="en-GB"/>
        </w:rPr>
        <w:t xml:space="preserve"> can be found in Figure </w:t>
      </w:r>
      <w:r>
        <w:rPr>
          <w:szCs w:val="21"/>
          <w:lang w:val="en-GB"/>
        </w:rPr>
        <w:t>1 and Figure 2, respectively</w:t>
      </w:r>
      <w:r>
        <w:rPr>
          <w:rFonts w:hint="eastAsia"/>
          <w:szCs w:val="21"/>
          <w:lang w:val="en-GB"/>
        </w:rPr>
        <w:t xml:space="preserve">. Assume that the offset value between PO and </w:t>
      </w:r>
      <w:r>
        <w:rPr>
          <w:rFonts w:hint="eastAsia"/>
          <w:szCs w:val="21"/>
        </w:rPr>
        <w:t xml:space="preserve">the nearest </w:t>
      </w:r>
      <w:r>
        <w:rPr>
          <w:rFonts w:hint="eastAsia"/>
          <w:szCs w:val="21"/>
          <w:lang w:val="en-GB"/>
        </w:rPr>
        <w:t xml:space="preserve">SSB </w:t>
      </w:r>
      <w:r>
        <w:rPr>
          <w:szCs w:val="21"/>
          <w:lang w:val="en-GB"/>
        </w:rPr>
        <w:t>is</w:t>
      </w:r>
      <w:r>
        <w:rPr>
          <w:rFonts w:hint="eastAsia"/>
          <w:szCs w:val="21"/>
          <w:lang w:val="en-GB"/>
        </w:rPr>
        <w:t xml:space="preserve"> 10 ms. </w:t>
      </w:r>
      <w:r>
        <w:rPr>
          <w:szCs w:val="21"/>
        </w:rPr>
        <w:t>The power saving gain from different number of UE sub-groups indicated by PEI per PO is calculated and shown in Figure 3 and Figure 4</w:t>
      </w:r>
      <w:r>
        <w:rPr>
          <w:rFonts w:hint="eastAsia"/>
          <w:szCs w:val="21"/>
        </w:rPr>
        <w:t>. The number</w:t>
      </w:r>
      <w:r>
        <w:rPr>
          <w:szCs w:val="21"/>
        </w:rPr>
        <w:t>s</w:t>
      </w:r>
      <w:r>
        <w:rPr>
          <w:rFonts w:hint="eastAsia"/>
          <w:szCs w:val="21"/>
        </w:rPr>
        <w:t xml:space="preserve"> of sub-groups to be considered </w:t>
      </w:r>
      <w:r>
        <w:rPr>
          <w:szCs w:val="21"/>
        </w:rPr>
        <w:t>are</w:t>
      </w:r>
      <w:r>
        <w:rPr>
          <w:rFonts w:hint="eastAsia"/>
          <w:szCs w:val="21"/>
        </w:rPr>
        <w:t xml:space="preserve"> 1, 4, 8 and 16. When the sub-group number is 1, it means sub-grouping is </w:t>
      </w:r>
      <w:r>
        <w:rPr>
          <w:szCs w:val="21"/>
        </w:rPr>
        <w:t xml:space="preserve">not </w:t>
      </w:r>
      <w:r>
        <w:rPr>
          <w:rFonts w:hint="eastAsia"/>
          <w:szCs w:val="21"/>
        </w:rPr>
        <w:t xml:space="preserve">used. </w:t>
      </w:r>
      <w:r>
        <w:rPr>
          <w:szCs w:val="21"/>
        </w:rPr>
        <w:t xml:space="preserve">It can be seen that the </w:t>
      </w:r>
      <w:r>
        <w:rPr>
          <w:rFonts w:hint="eastAsia"/>
          <w:szCs w:val="21"/>
        </w:rPr>
        <w:t>PEI with sub-group</w:t>
      </w:r>
      <w:r>
        <w:rPr>
          <w:szCs w:val="21"/>
        </w:rPr>
        <w:t xml:space="preserve"> indication</w:t>
      </w:r>
      <w:r>
        <w:rPr>
          <w:rFonts w:hint="eastAsia"/>
          <w:szCs w:val="21"/>
        </w:rPr>
        <w:t xml:space="preserve"> provides higher power saving gain, especially for the large group paging rate.</w:t>
      </w:r>
      <w:r>
        <w:rPr>
          <w:szCs w:val="21"/>
        </w:rPr>
        <w:t xml:space="preserve"> When the number of UE sub-groups increases, the power saving gain increases. 8 sub-groups can achieve the best tradeoff between the signaling overhead of PEI and power saving gain.</w:t>
      </w:r>
    </w:p>
    <w:p w:rsidR="00B85C39" w:rsidRDefault="007715FD">
      <w:pPr>
        <w:spacing w:before="120" w:after="120" w:line="260" w:lineRule="auto"/>
        <w:jc w:val="center"/>
        <w:rPr>
          <w:szCs w:val="21"/>
        </w:rPr>
      </w:pPr>
      <w:r>
        <w:rPr>
          <w:noProof/>
          <w:szCs w:val="21"/>
        </w:rPr>
        <w:drawing>
          <wp:inline distT="0" distB="0" distL="114300" distR="114300">
            <wp:extent cx="2801620" cy="1908175"/>
            <wp:effectExtent l="0" t="0" r="17780" b="15875"/>
            <wp:docPr id="2" name="图片 2"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8"/>
                    <pic:cNvPicPr>
                      <a:picLocks noChangeAspect="1"/>
                    </pic:cNvPicPr>
                  </pic:nvPicPr>
                  <pic:blipFill>
                    <a:blip r:embed="rId11"/>
                    <a:stretch>
                      <a:fillRect/>
                    </a:stretch>
                  </pic:blipFill>
                  <pic:spPr>
                    <a:xfrm>
                      <a:off x="0" y="0"/>
                      <a:ext cx="2801620" cy="1908175"/>
                    </a:xfrm>
                    <a:prstGeom prst="rect">
                      <a:avLst/>
                    </a:prstGeom>
                  </pic:spPr>
                </pic:pic>
              </a:graphicData>
            </a:graphic>
          </wp:inline>
        </w:drawing>
      </w:r>
    </w:p>
    <w:p w:rsidR="00B85C39" w:rsidRDefault="007715FD">
      <w:pPr>
        <w:spacing w:before="120" w:after="120" w:line="260" w:lineRule="auto"/>
        <w:jc w:val="center"/>
        <w:rPr>
          <w:szCs w:val="21"/>
        </w:rPr>
      </w:pPr>
      <w:r>
        <w:rPr>
          <w:szCs w:val="21"/>
        </w:rPr>
        <w:t xml:space="preserve">Figure 3 </w:t>
      </w:r>
      <w:r>
        <w:rPr>
          <w:rFonts w:hint="eastAsia"/>
          <w:szCs w:val="21"/>
        </w:rPr>
        <w:t>Power saving gain provide</w:t>
      </w:r>
      <w:r>
        <w:rPr>
          <w:szCs w:val="21"/>
        </w:rPr>
        <w:t>d</w:t>
      </w:r>
      <w:r>
        <w:rPr>
          <w:rFonts w:hint="eastAsia"/>
          <w:szCs w:val="21"/>
        </w:rPr>
        <w:t xml:space="preserve"> by PEI with sub-grouping </w:t>
      </w:r>
      <w:r>
        <w:rPr>
          <w:szCs w:val="21"/>
        </w:rPr>
        <w:t>(Two SSBs before PO)</w:t>
      </w:r>
    </w:p>
    <w:p w:rsidR="00B85C39" w:rsidRDefault="007715FD">
      <w:pPr>
        <w:spacing w:before="120" w:after="120" w:line="260" w:lineRule="auto"/>
        <w:jc w:val="center"/>
        <w:rPr>
          <w:szCs w:val="21"/>
        </w:rPr>
      </w:pPr>
      <w:r>
        <w:rPr>
          <w:noProof/>
        </w:rPr>
        <w:drawing>
          <wp:inline distT="0" distB="0" distL="114300" distR="114300">
            <wp:extent cx="2844165" cy="1934845"/>
            <wp:effectExtent l="0" t="0" r="13335" b="825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2"/>
                    <a:stretch>
                      <a:fillRect/>
                    </a:stretch>
                  </pic:blipFill>
                  <pic:spPr>
                    <a:xfrm>
                      <a:off x="0" y="0"/>
                      <a:ext cx="2844165" cy="1934845"/>
                    </a:xfrm>
                    <a:prstGeom prst="rect">
                      <a:avLst/>
                    </a:prstGeom>
                    <a:noFill/>
                    <a:ln>
                      <a:noFill/>
                    </a:ln>
                  </pic:spPr>
                </pic:pic>
              </a:graphicData>
            </a:graphic>
          </wp:inline>
        </w:drawing>
      </w:r>
    </w:p>
    <w:p w:rsidR="00B85C39" w:rsidRDefault="007715FD">
      <w:pPr>
        <w:spacing w:before="120" w:after="120" w:line="260" w:lineRule="auto"/>
        <w:jc w:val="center"/>
        <w:rPr>
          <w:szCs w:val="21"/>
        </w:rPr>
      </w:pPr>
      <w:r>
        <w:rPr>
          <w:szCs w:val="21"/>
        </w:rPr>
        <w:t>Figure 4 Power saving gain provided by PEI with sub-grouping (Three SSBs before PO)</w:t>
      </w:r>
    </w:p>
    <w:p w:rsidR="00B85C39" w:rsidRDefault="00B85C39">
      <w:pPr>
        <w:spacing w:before="120" w:after="120" w:line="260" w:lineRule="auto"/>
        <w:jc w:val="center"/>
        <w:rPr>
          <w:szCs w:val="21"/>
        </w:rPr>
      </w:pPr>
    </w:p>
    <w:p w:rsidR="00B85C39" w:rsidRDefault="00B85C39">
      <w:pPr>
        <w:spacing w:before="120" w:after="120" w:line="260" w:lineRule="auto"/>
        <w:jc w:val="center"/>
        <w:rPr>
          <w:szCs w:val="21"/>
        </w:rPr>
      </w:pPr>
    </w:p>
    <w:p w:rsidR="00B85C39" w:rsidRDefault="007715FD">
      <w:pPr>
        <w:pStyle w:val="YJ-Observation"/>
        <w:spacing w:before="120" w:after="120" w:line="260" w:lineRule="auto"/>
        <w:jc w:val="both"/>
        <w:rPr>
          <w:i w:val="0"/>
          <w:iCs w:val="0"/>
          <w:sz w:val="21"/>
          <w:szCs w:val="21"/>
          <w:lang w:val="en-US"/>
        </w:rPr>
      </w:pPr>
      <w:bookmarkStart w:id="4" w:name="_Toc71571242"/>
      <w:r>
        <w:rPr>
          <w:rFonts w:hint="eastAsia"/>
          <w:i w:val="0"/>
          <w:iCs w:val="0"/>
          <w:sz w:val="21"/>
          <w:szCs w:val="21"/>
          <w:lang w:val="en-US"/>
        </w:rPr>
        <w:t xml:space="preserve">PEI with sub-grouping can provide higher power saving gain. When the number of </w:t>
      </w:r>
      <w:r>
        <w:rPr>
          <w:i w:val="0"/>
          <w:iCs w:val="0"/>
          <w:sz w:val="21"/>
          <w:szCs w:val="21"/>
          <w:lang w:val="en-US"/>
        </w:rPr>
        <w:t>sub-</w:t>
      </w:r>
      <w:r>
        <w:rPr>
          <w:rFonts w:hint="eastAsia"/>
          <w:i w:val="0"/>
          <w:iCs w:val="0"/>
          <w:sz w:val="21"/>
          <w:szCs w:val="21"/>
          <w:lang w:val="en-US"/>
        </w:rPr>
        <w:t xml:space="preserve">groups exceeds a certain range, the </w:t>
      </w:r>
      <w:r>
        <w:rPr>
          <w:i w:val="0"/>
          <w:iCs w:val="0"/>
          <w:sz w:val="21"/>
          <w:szCs w:val="21"/>
          <w:lang w:val="en-US"/>
        </w:rPr>
        <w:t>additional</w:t>
      </w:r>
      <w:r>
        <w:rPr>
          <w:rFonts w:hint="eastAsia"/>
          <w:i w:val="0"/>
          <w:iCs w:val="0"/>
          <w:sz w:val="21"/>
          <w:szCs w:val="21"/>
          <w:lang w:val="en-US"/>
        </w:rPr>
        <w:t xml:space="preserve"> power saving gain obtained by increasing the number of </w:t>
      </w:r>
      <w:r>
        <w:rPr>
          <w:i w:val="0"/>
          <w:iCs w:val="0"/>
          <w:sz w:val="21"/>
          <w:szCs w:val="21"/>
          <w:lang w:val="en-US"/>
        </w:rPr>
        <w:t>sub-</w:t>
      </w:r>
      <w:r>
        <w:rPr>
          <w:rFonts w:hint="eastAsia"/>
          <w:i w:val="0"/>
          <w:iCs w:val="0"/>
          <w:sz w:val="21"/>
          <w:szCs w:val="21"/>
          <w:lang w:val="en-US"/>
        </w:rPr>
        <w:t>groups becomes smaller. 8</w:t>
      </w:r>
      <w:r>
        <w:rPr>
          <w:i w:val="0"/>
          <w:iCs w:val="0"/>
          <w:sz w:val="21"/>
          <w:szCs w:val="21"/>
          <w:lang w:val="en-US"/>
        </w:rPr>
        <w:t xml:space="preserve"> sub-groups can </w:t>
      </w:r>
      <w:r>
        <w:rPr>
          <w:rFonts w:hint="eastAsia"/>
          <w:i w:val="0"/>
          <w:iCs w:val="0"/>
          <w:sz w:val="21"/>
          <w:szCs w:val="21"/>
          <w:lang w:val="en-US"/>
        </w:rPr>
        <w:t>achieve</w:t>
      </w:r>
      <w:r>
        <w:rPr>
          <w:i w:val="0"/>
          <w:iCs w:val="0"/>
          <w:sz w:val="21"/>
          <w:szCs w:val="21"/>
          <w:lang w:val="en-US"/>
        </w:rPr>
        <w:t xml:space="preserve"> the best tradeoff between the signaling overhead of PEI and power saving gain</w:t>
      </w:r>
      <w:r>
        <w:rPr>
          <w:rFonts w:hint="eastAsia"/>
          <w:i w:val="0"/>
          <w:iCs w:val="0"/>
          <w:sz w:val="21"/>
          <w:szCs w:val="21"/>
          <w:lang w:val="en-US"/>
        </w:rPr>
        <w:t>.</w:t>
      </w:r>
      <w:bookmarkEnd w:id="4"/>
    </w:p>
    <w:p w:rsidR="00B85C39" w:rsidRDefault="007715FD">
      <w:pPr>
        <w:pStyle w:val="YJ-Proposal"/>
        <w:spacing w:before="120" w:after="120"/>
        <w:rPr>
          <w:b w:val="0"/>
          <w:bCs w:val="0"/>
          <w:i w:val="0"/>
          <w:iCs w:val="0"/>
          <w:sz w:val="21"/>
          <w:szCs w:val="21"/>
          <w:lang w:val="en-US"/>
        </w:rPr>
      </w:pPr>
      <w:bookmarkStart w:id="5" w:name="_Toc71619146"/>
      <w:r>
        <w:rPr>
          <w:rFonts w:hint="eastAsia"/>
          <w:i w:val="0"/>
          <w:iCs w:val="0"/>
          <w:sz w:val="21"/>
          <w:szCs w:val="21"/>
          <w:lang w:val="en-US"/>
        </w:rPr>
        <w:t xml:space="preserve">Supporting the </w:t>
      </w:r>
      <w:r>
        <w:rPr>
          <w:i w:val="0"/>
          <w:iCs w:val="0"/>
          <w:sz w:val="21"/>
          <w:szCs w:val="21"/>
          <w:lang w:val="en-US" w:eastAsia="zh-CN"/>
        </w:rPr>
        <w:t>indication</w:t>
      </w:r>
      <w:r>
        <w:rPr>
          <w:rFonts w:hint="eastAsia"/>
          <w:i w:val="0"/>
          <w:iCs w:val="0"/>
          <w:sz w:val="21"/>
          <w:szCs w:val="21"/>
          <w:lang w:val="en-US"/>
        </w:rPr>
        <w:t xml:space="preserve"> </w:t>
      </w:r>
      <w:r>
        <w:rPr>
          <w:i w:val="0"/>
          <w:iCs w:val="0"/>
          <w:sz w:val="21"/>
          <w:szCs w:val="21"/>
          <w:lang w:val="en-US"/>
        </w:rPr>
        <w:t>in</w:t>
      </w:r>
      <w:r>
        <w:rPr>
          <w:rFonts w:hint="eastAsia"/>
          <w:i w:val="0"/>
          <w:iCs w:val="0"/>
          <w:sz w:val="21"/>
          <w:szCs w:val="21"/>
          <w:lang w:val="en-US"/>
        </w:rPr>
        <w:t xml:space="preserve"> RAN2 LS</w:t>
      </w:r>
      <w:r>
        <w:rPr>
          <w:rFonts w:hint="eastAsia"/>
          <w:i w:val="0"/>
          <w:iCs w:val="0"/>
          <w:sz w:val="21"/>
          <w:szCs w:val="21"/>
          <w:lang w:val="en-US" w:eastAsia="zh-CN"/>
        </w:rPr>
        <w:t>,</w:t>
      </w:r>
      <w:r>
        <w:rPr>
          <w:rFonts w:hint="eastAsia"/>
          <w:i w:val="0"/>
          <w:iCs w:val="0"/>
          <w:sz w:val="21"/>
          <w:szCs w:val="21"/>
          <w:lang w:val="en-US"/>
        </w:rPr>
        <w:t xml:space="preserve"> at least 8 sub-groups </w:t>
      </w:r>
      <w:r>
        <w:rPr>
          <w:i w:val="0"/>
          <w:iCs w:val="0"/>
          <w:sz w:val="21"/>
          <w:szCs w:val="21"/>
          <w:lang w:val="en-US"/>
        </w:rPr>
        <w:t xml:space="preserve">per PO </w:t>
      </w:r>
      <w:r>
        <w:rPr>
          <w:rFonts w:hint="eastAsia"/>
          <w:i w:val="0"/>
          <w:iCs w:val="0"/>
          <w:sz w:val="21"/>
          <w:szCs w:val="21"/>
          <w:lang w:val="en-US"/>
        </w:rPr>
        <w:t>should be considered</w:t>
      </w:r>
      <w:r>
        <w:rPr>
          <w:rFonts w:hint="eastAsia"/>
          <w:i w:val="0"/>
          <w:iCs w:val="0"/>
          <w:sz w:val="21"/>
          <w:szCs w:val="21"/>
          <w:lang w:val="en-US" w:eastAsia="zh-CN"/>
        </w:rPr>
        <w:t>.</w:t>
      </w:r>
      <w:bookmarkEnd w:id="5"/>
    </w:p>
    <w:p w:rsidR="00B85C39" w:rsidRDefault="007715FD">
      <w:pPr>
        <w:spacing w:before="120" w:after="120"/>
        <w:rPr>
          <w:szCs w:val="21"/>
        </w:rPr>
      </w:pPr>
      <w:bookmarkStart w:id="6" w:name="_Toc7030"/>
      <w:r>
        <w:rPr>
          <w:rFonts w:hint="eastAsia"/>
          <w:szCs w:val="21"/>
        </w:rPr>
        <w:t>Another solution is to carry the sub-grouping information on the paging PDCCH. However, according to the agreements in 3GPP TSG RAN1#103-e meeting</w:t>
      </w:r>
      <w:r>
        <w:rPr>
          <w:szCs w:val="21"/>
        </w:rPr>
        <w:t xml:space="preserve"> </w:t>
      </w:r>
      <w:r>
        <w:rPr>
          <w:rFonts w:hint="eastAsia"/>
          <w:szCs w:val="21"/>
        </w:rPr>
        <w:t xml:space="preserve">(shown </w:t>
      </w:r>
      <w:r>
        <w:rPr>
          <w:szCs w:val="21"/>
        </w:rPr>
        <w:t>as</w:t>
      </w:r>
      <w:r>
        <w:rPr>
          <w:rFonts w:hint="eastAsia"/>
          <w:szCs w:val="21"/>
        </w:rPr>
        <w:t xml:space="preserve"> below), the power saving gain is negligible.</w:t>
      </w:r>
      <w:bookmarkEnd w:id="6"/>
    </w:p>
    <w:tbl>
      <w:tblPr>
        <w:tblStyle w:val="ab"/>
        <w:tblW w:w="0" w:type="auto"/>
        <w:jc w:val="center"/>
        <w:tblLook w:val="04A0" w:firstRow="1" w:lastRow="0" w:firstColumn="1" w:lastColumn="0" w:noHBand="0" w:noVBand="1"/>
      </w:tblPr>
      <w:tblGrid>
        <w:gridCol w:w="9700"/>
      </w:tblGrid>
      <w:tr w:rsidR="00B85C39">
        <w:trPr>
          <w:trHeight w:val="553"/>
          <w:jc w:val="center"/>
        </w:trPr>
        <w:tc>
          <w:tcPr>
            <w:tcW w:w="9700" w:type="dxa"/>
          </w:tcPr>
          <w:p w:rsidR="00B85C39" w:rsidRDefault="007715FD">
            <w:pPr>
              <w:spacing w:beforeLines="0" w:before="0" w:afterLines="0" w:after="0" w:line="276" w:lineRule="auto"/>
              <w:rPr>
                <w:sz w:val="20"/>
                <w:highlight w:val="green"/>
              </w:rPr>
            </w:pPr>
            <w:r>
              <w:rPr>
                <w:sz w:val="20"/>
                <w:highlight w:val="green"/>
              </w:rPr>
              <w:t>Agreements:</w:t>
            </w:r>
          </w:p>
          <w:p w:rsidR="00B85C39" w:rsidRDefault="007715FD">
            <w:pPr>
              <w:spacing w:beforeLines="0" w:before="0" w:afterLines="0" w:after="0" w:line="276" w:lineRule="auto"/>
              <w:rPr>
                <w:rFonts w:eastAsia="Calibri"/>
                <w:sz w:val="20"/>
              </w:rPr>
            </w:pPr>
            <w:r>
              <w:rPr>
                <w:rFonts w:eastAsia="Calibri"/>
                <w:sz w:val="20"/>
              </w:rPr>
              <w:t>Observation: For NR idle/inactive-mode UEs, UE sub-grouping indication within a PO can provide the following power saving gains w.r.t. Rel-16:</w:t>
            </w:r>
          </w:p>
          <w:p w:rsidR="00B85C39" w:rsidRDefault="007715FD">
            <w:pPr>
              <w:numPr>
                <w:ilvl w:val="0"/>
                <w:numId w:val="10"/>
              </w:numPr>
              <w:spacing w:beforeLines="0" w:before="0" w:afterLines="0" w:after="0" w:line="276" w:lineRule="auto"/>
              <w:rPr>
                <w:sz w:val="20"/>
              </w:rPr>
            </w:pPr>
            <w:r>
              <w:rPr>
                <w:sz w:val="20"/>
              </w:rPr>
              <w:t xml:space="preserve">If the original group paging rate is 10%: </w:t>
            </w:r>
          </w:p>
          <w:p w:rsidR="00B85C39" w:rsidRDefault="007715FD">
            <w:pPr>
              <w:numPr>
                <w:ilvl w:val="1"/>
                <w:numId w:val="10"/>
              </w:numPr>
              <w:spacing w:beforeLines="0" w:before="0" w:afterLines="0" w:after="0" w:line="276" w:lineRule="auto"/>
              <w:rPr>
                <w:sz w:val="20"/>
              </w:rPr>
            </w:pPr>
            <w:r>
              <w:rPr>
                <w:sz w:val="20"/>
              </w:rPr>
              <w:t>[0.3%] - [1.1%] where the baseline assumes 1 SS burst for synchronization before PO reception</w:t>
            </w:r>
          </w:p>
          <w:p w:rsidR="00B85C39" w:rsidRDefault="007715FD">
            <w:pPr>
              <w:numPr>
                <w:ilvl w:val="1"/>
                <w:numId w:val="10"/>
              </w:numPr>
              <w:spacing w:beforeLines="0" w:before="0" w:afterLines="0" w:after="0" w:line="276" w:lineRule="auto"/>
              <w:rPr>
                <w:sz w:val="20"/>
              </w:rPr>
            </w:pPr>
            <w:r>
              <w:rPr>
                <w:sz w:val="20"/>
              </w:rPr>
              <w:t>[0.4%] - [0.8%] where the baseline assumes 2 SS bursts for synchronization before PO reception</w:t>
            </w:r>
          </w:p>
          <w:p w:rsidR="00B85C39" w:rsidRDefault="007715FD">
            <w:pPr>
              <w:numPr>
                <w:ilvl w:val="1"/>
                <w:numId w:val="10"/>
              </w:numPr>
              <w:spacing w:beforeLines="0" w:before="0" w:afterLines="0" w:after="0" w:line="276" w:lineRule="auto"/>
              <w:rPr>
                <w:sz w:val="20"/>
              </w:rPr>
            </w:pPr>
            <w:r>
              <w:rPr>
                <w:sz w:val="20"/>
              </w:rPr>
              <w:t>[0.3%] - [1.0%] where the baseline assumes 3 SS bursts for synchronization before PO reception</w:t>
            </w:r>
          </w:p>
          <w:p w:rsidR="00B85C39" w:rsidRDefault="007715FD">
            <w:pPr>
              <w:numPr>
                <w:ilvl w:val="0"/>
                <w:numId w:val="10"/>
              </w:numPr>
              <w:spacing w:beforeLines="0" w:before="0" w:afterLines="0" w:after="0" w:line="276" w:lineRule="auto"/>
              <w:rPr>
                <w:sz w:val="20"/>
              </w:rPr>
            </w:pPr>
            <w:r>
              <w:rPr>
                <w:sz w:val="20"/>
              </w:rPr>
              <w:t>Some sources also evaluated performance if the original group paging rate is in the range between 20% and 80% and showed following results:</w:t>
            </w:r>
            <w:r>
              <w:rPr>
                <w:rStyle w:val="apple-converted-space"/>
                <w:sz w:val="20"/>
              </w:rPr>
              <w:t> </w:t>
            </w:r>
            <w:r>
              <w:rPr>
                <w:sz w:val="20"/>
              </w:rPr>
              <w:t xml:space="preserve"> </w:t>
            </w:r>
          </w:p>
          <w:p w:rsidR="00B85C39" w:rsidRDefault="007715FD">
            <w:pPr>
              <w:numPr>
                <w:ilvl w:val="1"/>
                <w:numId w:val="10"/>
              </w:numPr>
              <w:spacing w:beforeLines="0" w:before="0" w:afterLines="0" w:after="0" w:line="276" w:lineRule="auto"/>
              <w:rPr>
                <w:sz w:val="20"/>
              </w:rPr>
            </w:pPr>
            <w:r>
              <w:rPr>
                <w:sz w:val="20"/>
              </w:rPr>
              <w:t>[0.7%] - [7.6%] where the baseline assumes 1 SS burst for synchronization before PO reception</w:t>
            </w:r>
          </w:p>
          <w:p w:rsidR="00B85C39" w:rsidRDefault="007715FD">
            <w:pPr>
              <w:numPr>
                <w:ilvl w:val="1"/>
                <w:numId w:val="10"/>
              </w:numPr>
              <w:spacing w:beforeLines="0" w:before="0" w:afterLines="0" w:after="0" w:line="276" w:lineRule="auto"/>
              <w:rPr>
                <w:sz w:val="20"/>
              </w:rPr>
            </w:pPr>
            <w:r>
              <w:rPr>
                <w:sz w:val="20"/>
              </w:rPr>
              <w:t>[0.8%] - [3.0%] where the baseline assumes 2 SS bursts for synchronization before PO reception</w:t>
            </w:r>
          </w:p>
          <w:p w:rsidR="00B85C39" w:rsidRDefault="007715FD">
            <w:pPr>
              <w:numPr>
                <w:ilvl w:val="1"/>
                <w:numId w:val="10"/>
              </w:numPr>
              <w:snapToGrid w:val="0"/>
              <w:spacing w:before="120" w:after="120" w:line="240" w:lineRule="auto"/>
              <w:ind w:left="1446" w:hanging="363"/>
              <w:rPr>
                <w:szCs w:val="21"/>
              </w:rPr>
            </w:pPr>
            <w:r>
              <w:t>[0.5%] - [4.7%] where the baseline assumes 3 SS bursts for synchronization before PO reception</w:t>
            </w:r>
          </w:p>
        </w:tc>
      </w:tr>
    </w:tbl>
    <w:p w:rsidR="00B85C39" w:rsidRDefault="00B85C39">
      <w:pPr>
        <w:spacing w:before="120" w:after="120"/>
      </w:pPr>
    </w:p>
    <w:p w:rsidR="00B85C39" w:rsidRDefault="007715FD">
      <w:pPr>
        <w:pStyle w:val="YJ-Observation"/>
        <w:spacing w:before="120" w:after="120" w:line="260" w:lineRule="auto"/>
        <w:jc w:val="both"/>
        <w:rPr>
          <w:i w:val="0"/>
          <w:iCs w:val="0"/>
          <w:sz w:val="21"/>
          <w:lang w:val="en-US"/>
        </w:rPr>
      </w:pPr>
      <w:bookmarkStart w:id="7" w:name="_Toc19406"/>
      <w:bookmarkStart w:id="8" w:name="_Toc23241"/>
      <w:bookmarkStart w:id="9" w:name="_Toc71571243"/>
      <w:r>
        <w:rPr>
          <w:rFonts w:hint="eastAsia"/>
          <w:i w:val="0"/>
          <w:iCs w:val="0"/>
          <w:sz w:val="21"/>
          <w:szCs w:val="21"/>
          <w:lang w:val="en-US" w:eastAsia="zh-CN"/>
        </w:rPr>
        <w:t xml:space="preserve">If the sub-grouping </w:t>
      </w:r>
      <w:r>
        <w:rPr>
          <w:i w:val="0"/>
          <w:iCs w:val="0"/>
          <w:sz w:val="21"/>
          <w:szCs w:val="21"/>
          <w:lang w:val="en-US" w:eastAsia="zh-CN"/>
        </w:rPr>
        <w:t>information</w:t>
      </w:r>
      <w:r>
        <w:rPr>
          <w:rFonts w:hint="eastAsia"/>
          <w:i w:val="0"/>
          <w:iCs w:val="0"/>
          <w:sz w:val="21"/>
          <w:szCs w:val="21"/>
          <w:lang w:val="en-US" w:eastAsia="zh-CN"/>
        </w:rPr>
        <w:t xml:space="preserve"> carried on the paging PDCCH, </w:t>
      </w:r>
      <w:r>
        <w:rPr>
          <w:i w:val="0"/>
          <w:iCs w:val="0"/>
          <w:sz w:val="21"/>
          <w:szCs w:val="21"/>
          <w:lang w:val="en-US"/>
        </w:rPr>
        <w:t xml:space="preserve">the </w:t>
      </w:r>
      <w:r>
        <w:rPr>
          <w:i w:val="0"/>
          <w:iCs w:val="0"/>
          <w:sz w:val="21"/>
          <w:lang w:val="en-US"/>
        </w:rPr>
        <w:t>power saving gain is negligible</w:t>
      </w:r>
      <w:bookmarkEnd w:id="7"/>
      <w:bookmarkEnd w:id="8"/>
      <w:r>
        <w:rPr>
          <w:rFonts w:hint="eastAsia"/>
          <w:i w:val="0"/>
          <w:iCs w:val="0"/>
          <w:sz w:val="21"/>
          <w:lang w:val="en-US" w:eastAsia="zh-CN"/>
        </w:rPr>
        <w:t>.</w:t>
      </w:r>
      <w:bookmarkEnd w:id="9"/>
    </w:p>
    <w:p w:rsidR="00B85C39" w:rsidRDefault="007715FD">
      <w:pPr>
        <w:pStyle w:val="YJ-Proposal"/>
        <w:spacing w:before="120" w:after="120"/>
        <w:jc w:val="both"/>
        <w:rPr>
          <w:i w:val="0"/>
          <w:iCs w:val="0"/>
          <w:sz w:val="21"/>
          <w:szCs w:val="21"/>
          <w:lang w:val="en-US"/>
        </w:rPr>
      </w:pPr>
      <w:bookmarkStart w:id="10" w:name="_Toc19102"/>
      <w:bookmarkStart w:id="11" w:name="_Toc1217"/>
      <w:bookmarkStart w:id="12" w:name="_Toc68621488"/>
      <w:bookmarkStart w:id="13" w:name="_Toc2582"/>
      <w:bookmarkStart w:id="14" w:name="_Toc4425"/>
      <w:bookmarkStart w:id="15" w:name="_Toc2488"/>
      <w:bookmarkStart w:id="16" w:name="_Toc71619147"/>
      <w:r>
        <w:rPr>
          <w:rFonts w:hint="eastAsia"/>
          <w:i w:val="0"/>
          <w:iCs w:val="0"/>
          <w:sz w:val="21"/>
          <w:szCs w:val="21"/>
          <w:lang w:val="en-US"/>
        </w:rPr>
        <w:t>The combination of PEI and sub-grouping</w:t>
      </w:r>
      <w:r>
        <w:rPr>
          <w:i w:val="0"/>
          <w:iCs w:val="0"/>
          <w:sz w:val="21"/>
          <w:szCs w:val="21"/>
          <w:lang w:val="en-US"/>
        </w:rPr>
        <w:t xml:space="preserve"> indication</w:t>
      </w:r>
      <w:r>
        <w:rPr>
          <w:rFonts w:hint="eastAsia"/>
          <w:i w:val="0"/>
          <w:iCs w:val="0"/>
          <w:sz w:val="21"/>
          <w:szCs w:val="21"/>
          <w:lang w:val="en-US"/>
        </w:rPr>
        <w:t xml:space="preserve"> should be supported.</w:t>
      </w:r>
      <w:bookmarkEnd w:id="10"/>
      <w:bookmarkEnd w:id="11"/>
      <w:bookmarkEnd w:id="12"/>
      <w:bookmarkEnd w:id="13"/>
      <w:bookmarkEnd w:id="14"/>
      <w:bookmarkEnd w:id="15"/>
      <w:bookmarkEnd w:id="16"/>
    </w:p>
    <w:p w:rsidR="0013275E" w:rsidRDefault="0044241F" w:rsidP="0013275E">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R</w:t>
      </w:r>
      <w:r w:rsidR="0013275E">
        <w:rPr>
          <w:rFonts w:ascii="Times New Roman" w:eastAsia="宋体" w:hAnsi="Times New Roman"/>
          <w:b/>
          <w:bCs/>
          <w:sz w:val="24"/>
          <w:szCs w:val="24"/>
        </w:rPr>
        <w:t>eply LS</w:t>
      </w:r>
    </w:p>
    <w:p w:rsidR="0013275E" w:rsidRDefault="0013275E" w:rsidP="0013275E">
      <w:pPr>
        <w:spacing w:before="120" w:after="120"/>
      </w:pPr>
      <w:r>
        <w:t>Based on the above discussion, the following reply LS is suggested.</w:t>
      </w:r>
    </w:p>
    <w:p w:rsidR="0013275E" w:rsidRPr="0013275E" w:rsidRDefault="0013275E" w:rsidP="0013275E">
      <w:pPr>
        <w:pStyle w:val="YJ-Proposal"/>
        <w:spacing w:before="120" w:after="120"/>
        <w:jc w:val="both"/>
        <w:rPr>
          <w:i w:val="0"/>
          <w:iCs w:val="0"/>
          <w:sz w:val="21"/>
          <w:szCs w:val="21"/>
          <w:lang w:val="en-US"/>
        </w:rPr>
      </w:pPr>
      <w:bookmarkStart w:id="17" w:name="_Toc71619148"/>
      <w:r>
        <w:rPr>
          <w:rFonts w:hint="eastAsia"/>
          <w:i w:val="0"/>
          <w:iCs w:val="0"/>
          <w:sz w:val="21"/>
          <w:szCs w:val="21"/>
          <w:lang w:val="en-US"/>
        </w:rPr>
        <w:t xml:space="preserve">The </w:t>
      </w:r>
      <w:r>
        <w:rPr>
          <w:i w:val="0"/>
          <w:iCs w:val="0"/>
          <w:sz w:val="21"/>
          <w:szCs w:val="21"/>
          <w:lang w:val="en-US"/>
        </w:rPr>
        <w:t>following reply LS is suggested.</w:t>
      </w:r>
      <w:bookmarkEnd w:id="17"/>
    </w:p>
    <w:tbl>
      <w:tblPr>
        <w:tblStyle w:val="ab"/>
        <w:tblW w:w="0" w:type="auto"/>
        <w:tblLook w:val="04A0" w:firstRow="1" w:lastRow="0" w:firstColumn="1" w:lastColumn="0" w:noHBand="0" w:noVBand="1"/>
      </w:tblPr>
      <w:tblGrid>
        <w:gridCol w:w="9876"/>
      </w:tblGrid>
      <w:tr w:rsidR="0013275E" w:rsidTr="0013275E">
        <w:tc>
          <w:tcPr>
            <w:tcW w:w="9876" w:type="dxa"/>
          </w:tcPr>
          <w:p w:rsidR="0013275E" w:rsidRDefault="0013275E" w:rsidP="0013275E">
            <w:pPr>
              <w:spacing w:beforeLines="0" w:afterLines="0"/>
              <w:rPr>
                <w:color w:val="000000"/>
                <w:szCs w:val="21"/>
              </w:rPr>
            </w:pPr>
            <w:r>
              <w:rPr>
                <w:b/>
                <w:color w:val="000000"/>
                <w:szCs w:val="21"/>
              </w:rPr>
              <w:t xml:space="preserve">1. Overall Description: </w:t>
            </w:r>
          </w:p>
          <w:p w:rsidR="0013275E" w:rsidRDefault="0013275E" w:rsidP="0013275E">
            <w:pPr>
              <w:spacing w:beforeLines="0" w:afterLines="0"/>
              <w:rPr>
                <w:color w:val="000000"/>
                <w:szCs w:val="21"/>
              </w:rPr>
            </w:pPr>
            <w:r>
              <w:rPr>
                <w:color w:val="000000"/>
                <w:szCs w:val="21"/>
              </w:rPr>
              <w:t xml:space="preserve">RAN1 would like to thank RAN2 for the LS on UE sub-grouping mechanism for paging enhancements and the number of sub-groups per PO. RAN1 discussed this topic and agreed to the following: </w:t>
            </w:r>
          </w:p>
          <w:p w:rsidR="0013275E" w:rsidRDefault="0013275E" w:rsidP="0013275E">
            <w:pPr>
              <w:numPr>
                <w:ilvl w:val="0"/>
                <w:numId w:val="8"/>
              </w:numPr>
              <w:spacing w:beforeLines="0" w:afterLines="0"/>
              <w:rPr>
                <w:color w:val="000000"/>
                <w:szCs w:val="21"/>
              </w:rPr>
            </w:pPr>
            <w:r>
              <w:rPr>
                <w:color w:val="000000"/>
                <w:szCs w:val="21"/>
              </w:rPr>
              <w:t xml:space="preserve">RAN1 </w:t>
            </w:r>
            <w:r w:rsidR="00487405">
              <w:rPr>
                <w:color w:val="000000"/>
                <w:szCs w:val="21"/>
              </w:rPr>
              <w:t>supports</w:t>
            </w:r>
            <w:r>
              <w:rPr>
                <w:color w:val="000000"/>
                <w:szCs w:val="21"/>
              </w:rPr>
              <w:t xml:space="preserve"> RAN2’s indication that the maximum number of UE subgroups per PO should be at least 8.</w:t>
            </w:r>
          </w:p>
          <w:p w:rsidR="0013275E" w:rsidRDefault="0013275E" w:rsidP="0013275E">
            <w:pPr>
              <w:numPr>
                <w:ilvl w:val="0"/>
                <w:numId w:val="8"/>
              </w:numPr>
              <w:spacing w:beforeLines="0" w:afterLines="0"/>
              <w:rPr>
                <w:color w:val="000000"/>
                <w:szCs w:val="21"/>
              </w:rPr>
            </w:pPr>
            <w:r>
              <w:rPr>
                <w:color w:val="000000"/>
                <w:szCs w:val="21"/>
              </w:rPr>
              <w:t>RAN1 agreed that the sub-grouping information per PO is carried by PEI.</w:t>
            </w:r>
          </w:p>
          <w:p w:rsidR="0013275E" w:rsidRDefault="0013275E" w:rsidP="0013275E">
            <w:pPr>
              <w:spacing w:beforeLines="0" w:afterLines="0"/>
              <w:rPr>
                <w:color w:val="000000"/>
                <w:szCs w:val="21"/>
              </w:rPr>
            </w:pPr>
          </w:p>
          <w:p w:rsidR="0013275E" w:rsidRDefault="0013275E" w:rsidP="0013275E">
            <w:pPr>
              <w:spacing w:beforeLines="0" w:afterLines="0"/>
              <w:rPr>
                <w:color w:val="000000"/>
                <w:szCs w:val="21"/>
              </w:rPr>
            </w:pPr>
            <w:r>
              <w:rPr>
                <w:b/>
                <w:color w:val="000000"/>
                <w:szCs w:val="21"/>
              </w:rPr>
              <w:t xml:space="preserve">2. Actions: </w:t>
            </w:r>
          </w:p>
          <w:p w:rsidR="0013275E" w:rsidRDefault="0013275E" w:rsidP="0013275E">
            <w:pPr>
              <w:spacing w:beforeLines="0" w:afterLines="0"/>
              <w:rPr>
                <w:color w:val="000000"/>
                <w:szCs w:val="21"/>
              </w:rPr>
            </w:pPr>
            <w:r>
              <w:rPr>
                <w:b/>
                <w:color w:val="000000"/>
                <w:szCs w:val="21"/>
              </w:rPr>
              <w:t xml:space="preserve">To RAN2: </w:t>
            </w:r>
          </w:p>
          <w:p w:rsidR="0013275E" w:rsidRDefault="0013275E" w:rsidP="0013275E">
            <w:pPr>
              <w:spacing w:before="120" w:after="120"/>
            </w:pPr>
            <w:r>
              <w:rPr>
                <w:color w:val="000000"/>
                <w:szCs w:val="21"/>
              </w:rPr>
              <w:t xml:space="preserve">RAN1 respectfully asks RAN2 to take the above information into account for RAN2’s future work. </w:t>
            </w:r>
          </w:p>
        </w:tc>
      </w:tr>
    </w:tbl>
    <w:p w:rsidR="0013275E" w:rsidRPr="0013275E" w:rsidRDefault="0013275E" w:rsidP="0013275E">
      <w:pPr>
        <w:spacing w:before="120" w:after="120"/>
      </w:pPr>
    </w:p>
    <w:p w:rsidR="0013275E" w:rsidRDefault="0013275E" w:rsidP="0013275E">
      <w:pPr>
        <w:pStyle w:val="YJ-Proposal"/>
        <w:numPr>
          <w:ilvl w:val="0"/>
          <w:numId w:val="0"/>
        </w:numPr>
        <w:spacing w:before="120" w:after="120"/>
        <w:jc w:val="both"/>
        <w:rPr>
          <w:i w:val="0"/>
          <w:iCs w:val="0"/>
          <w:sz w:val="21"/>
          <w:szCs w:val="21"/>
          <w:lang w:val="en-US"/>
        </w:rPr>
      </w:pPr>
    </w:p>
    <w:p w:rsidR="00B85C39" w:rsidRDefault="007715FD">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lastRenderedPageBreak/>
        <w:t>Conclusion</w:t>
      </w:r>
    </w:p>
    <w:p w:rsidR="00B85C39" w:rsidRDefault="007715FD">
      <w:pPr>
        <w:spacing w:before="120" w:after="120"/>
        <w:rPr>
          <w:szCs w:val="22"/>
        </w:rPr>
      </w:pPr>
      <w:r>
        <w:rPr>
          <w:rFonts w:hint="eastAsia"/>
        </w:rPr>
        <w:t>In this contribution, we discuss the power saving enhancement schemes for paging. We have the following observations and proposals.</w:t>
      </w:r>
    </w:p>
    <w:p w:rsidR="00B85C39" w:rsidRDefault="007715FD">
      <w:pPr>
        <w:pStyle w:val="10"/>
        <w:tabs>
          <w:tab w:val="left" w:pos="1540"/>
        </w:tabs>
        <w:spacing w:before="120" w:after="120"/>
        <w:jc w:val="both"/>
        <w:rPr>
          <w:rFonts w:asciiTheme="minorHAnsi" w:hAnsiTheme="minorHAnsi" w:cstheme="minorBidi"/>
          <w:b w:val="0"/>
          <w:bCs w:val="0"/>
          <w:i w:val="0"/>
          <w:iCs w:val="0"/>
          <w:kern w:val="0"/>
          <w:sz w:val="21"/>
          <w:szCs w:val="21"/>
        </w:rPr>
      </w:pPr>
      <w:r>
        <w:rPr>
          <w:i w:val="0"/>
          <w:iCs w:val="0"/>
          <w:sz w:val="21"/>
          <w:szCs w:val="21"/>
        </w:rPr>
        <w:fldChar w:fldCharType="begin"/>
      </w:r>
      <w:r>
        <w:rPr>
          <w:i w:val="0"/>
          <w:iCs w:val="0"/>
          <w:sz w:val="21"/>
          <w:szCs w:val="21"/>
        </w:rPr>
        <w:instrText>TOC \n  \t "YJ-Observation,1,sub-observation,2,3rd level observation,3" \h</w:instrText>
      </w:r>
      <w:r>
        <w:rPr>
          <w:i w:val="0"/>
          <w:iCs w:val="0"/>
          <w:sz w:val="21"/>
          <w:szCs w:val="21"/>
        </w:rPr>
        <w:fldChar w:fldCharType="separate"/>
      </w:r>
      <w:hyperlink w:anchor="_Toc71571241" w:history="1">
        <w:r>
          <w:rPr>
            <w:rStyle w:val="ae"/>
            <w:rFonts w:eastAsia="宋体"/>
            <w:i w:val="0"/>
            <w:sz w:val="21"/>
            <w:szCs w:val="21"/>
          </w:rPr>
          <w:t>Observation 1:</w:t>
        </w:r>
        <w:r>
          <w:rPr>
            <w:rFonts w:asciiTheme="minorHAnsi" w:hAnsiTheme="minorHAnsi" w:cstheme="minorBidi"/>
            <w:b w:val="0"/>
            <w:bCs w:val="0"/>
            <w:i w:val="0"/>
            <w:iCs w:val="0"/>
            <w:kern w:val="0"/>
            <w:sz w:val="21"/>
            <w:szCs w:val="21"/>
          </w:rPr>
          <w:tab/>
        </w:r>
        <w:r>
          <w:rPr>
            <w:rStyle w:val="ae"/>
            <w:i w:val="0"/>
            <w:sz w:val="21"/>
            <w:szCs w:val="21"/>
          </w:rPr>
          <w:t>Group paging rate per PO of 20%-60% should be considered in addition to group paging rate of 10%.</w:t>
        </w:r>
      </w:hyperlink>
    </w:p>
    <w:p w:rsidR="00B85C39" w:rsidRDefault="006F0D20">
      <w:pPr>
        <w:pStyle w:val="10"/>
        <w:tabs>
          <w:tab w:val="left" w:pos="1540"/>
        </w:tabs>
        <w:spacing w:before="120" w:after="120"/>
        <w:jc w:val="both"/>
        <w:rPr>
          <w:rFonts w:asciiTheme="minorHAnsi" w:hAnsiTheme="minorHAnsi" w:cstheme="minorBidi"/>
          <w:b w:val="0"/>
          <w:bCs w:val="0"/>
          <w:i w:val="0"/>
          <w:iCs w:val="0"/>
          <w:kern w:val="0"/>
          <w:sz w:val="21"/>
          <w:szCs w:val="21"/>
        </w:rPr>
      </w:pPr>
      <w:hyperlink w:anchor="_Toc71571242" w:history="1">
        <w:r w:rsidR="007715FD">
          <w:rPr>
            <w:rStyle w:val="ae"/>
            <w:rFonts w:eastAsia="宋体"/>
            <w:i w:val="0"/>
            <w:sz w:val="21"/>
            <w:szCs w:val="21"/>
          </w:rPr>
          <w:t>Observation 2:</w:t>
        </w:r>
        <w:r w:rsidR="007715FD">
          <w:rPr>
            <w:rFonts w:asciiTheme="minorHAnsi" w:hAnsiTheme="minorHAnsi" w:cstheme="minorBidi"/>
            <w:b w:val="0"/>
            <w:bCs w:val="0"/>
            <w:i w:val="0"/>
            <w:iCs w:val="0"/>
            <w:kern w:val="0"/>
            <w:sz w:val="21"/>
            <w:szCs w:val="21"/>
          </w:rPr>
          <w:tab/>
        </w:r>
        <w:r w:rsidR="007715FD">
          <w:rPr>
            <w:rStyle w:val="ae"/>
            <w:i w:val="0"/>
            <w:sz w:val="21"/>
            <w:szCs w:val="21"/>
          </w:rPr>
          <w:t>PEI with sub-grouping can provide higher power saving gain. When the number of sub-groups exceeds a certain range, the additional power saving gain obtained by increasing the number of sub-groups becomes smaller. 8 sub-groups can achieve the best tradeoff between the signaling overhead of PEI and power saving gain.</w:t>
        </w:r>
      </w:hyperlink>
    </w:p>
    <w:p w:rsidR="00B85C39" w:rsidRDefault="006F0D20">
      <w:pPr>
        <w:pStyle w:val="10"/>
        <w:tabs>
          <w:tab w:val="left" w:pos="1540"/>
        </w:tabs>
        <w:spacing w:before="120" w:after="120"/>
        <w:jc w:val="both"/>
        <w:rPr>
          <w:rFonts w:asciiTheme="minorHAnsi" w:hAnsiTheme="minorHAnsi" w:cstheme="minorBidi"/>
          <w:b w:val="0"/>
          <w:bCs w:val="0"/>
          <w:i w:val="0"/>
          <w:iCs w:val="0"/>
          <w:kern w:val="0"/>
          <w:sz w:val="21"/>
          <w:szCs w:val="21"/>
        </w:rPr>
      </w:pPr>
      <w:hyperlink w:anchor="_Toc71571243" w:history="1">
        <w:r w:rsidR="007715FD">
          <w:rPr>
            <w:rStyle w:val="ae"/>
            <w:rFonts w:eastAsia="宋体"/>
            <w:i w:val="0"/>
            <w:sz w:val="21"/>
            <w:szCs w:val="21"/>
          </w:rPr>
          <w:t>Observation 3:</w:t>
        </w:r>
        <w:r w:rsidR="007715FD">
          <w:rPr>
            <w:rFonts w:asciiTheme="minorHAnsi" w:hAnsiTheme="minorHAnsi" w:cstheme="minorBidi"/>
            <w:b w:val="0"/>
            <w:bCs w:val="0"/>
            <w:i w:val="0"/>
            <w:iCs w:val="0"/>
            <w:kern w:val="0"/>
            <w:sz w:val="21"/>
            <w:szCs w:val="21"/>
          </w:rPr>
          <w:tab/>
        </w:r>
        <w:r w:rsidR="007715FD">
          <w:rPr>
            <w:rStyle w:val="ae"/>
            <w:i w:val="0"/>
            <w:sz w:val="21"/>
            <w:szCs w:val="21"/>
          </w:rPr>
          <w:t>If the sub-grouping information carried on the paging PDCCH, the power saving gain is negligible.</w:t>
        </w:r>
      </w:hyperlink>
    </w:p>
    <w:p w:rsidR="00B85C39" w:rsidRDefault="007715FD">
      <w:pPr>
        <w:spacing w:before="120" w:after="120"/>
        <w:rPr>
          <w:szCs w:val="21"/>
        </w:rPr>
      </w:pPr>
      <w:r>
        <w:rPr>
          <w:szCs w:val="21"/>
        </w:rPr>
        <w:fldChar w:fldCharType="end"/>
      </w:r>
    </w:p>
    <w:p w:rsidR="0044241F" w:rsidRPr="0044241F" w:rsidRDefault="007715FD" w:rsidP="0044241F">
      <w:pPr>
        <w:pStyle w:val="10"/>
        <w:tabs>
          <w:tab w:val="left" w:pos="1282"/>
        </w:tabs>
        <w:spacing w:before="120" w:after="120"/>
        <w:jc w:val="both"/>
        <w:rPr>
          <w:rFonts w:asciiTheme="minorHAnsi" w:hAnsiTheme="minorHAnsi" w:cstheme="minorBidi"/>
          <w:b w:val="0"/>
          <w:bCs w:val="0"/>
          <w:i w:val="0"/>
          <w:iCs w:val="0"/>
          <w:noProof/>
          <w:kern w:val="0"/>
          <w:sz w:val="21"/>
          <w:szCs w:val="21"/>
        </w:rPr>
      </w:pPr>
      <w:r w:rsidRPr="0044241F">
        <w:rPr>
          <w:i w:val="0"/>
          <w:iCs w:val="0"/>
          <w:sz w:val="21"/>
          <w:szCs w:val="21"/>
        </w:rPr>
        <w:fldChar w:fldCharType="begin"/>
      </w:r>
      <w:r w:rsidRPr="0044241F">
        <w:rPr>
          <w:i w:val="0"/>
          <w:iCs w:val="0"/>
          <w:sz w:val="21"/>
          <w:szCs w:val="21"/>
        </w:rPr>
        <w:instrText>TOC \n  \t "YJ-Proposal,1,sub-proposal,2,3rd level proposal,3" \h</w:instrText>
      </w:r>
      <w:r w:rsidRPr="0044241F">
        <w:rPr>
          <w:i w:val="0"/>
          <w:iCs w:val="0"/>
          <w:sz w:val="21"/>
          <w:szCs w:val="21"/>
        </w:rPr>
        <w:fldChar w:fldCharType="separate"/>
      </w:r>
      <w:hyperlink w:anchor="_Toc71619146" w:history="1">
        <w:r w:rsidR="0044241F" w:rsidRPr="0044241F">
          <w:rPr>
            <w:rStyle w:val="ae"/>
            <w:rFonts w:eastAsia="宋体"/>
            <w:i w:val="0"/>
            <w:noProof/>
            <w:sz w:val="21"/>
            <w:szCs w:val="21"/>
          </w:rPr>
          <w:t>Proposal 1:</w:t>
        </w:r>
        <w:r w:rsidR="0044241F" w:rsidRPr="0044241F">
          <w:rPr>
            <w:rFonts w:asciiTheme="minorHAnsi" w:hAnsiTheme="minorHAnsi" w:cstheme="minorBidi"/>
            <w:b w:val="0"/>
            <w:bCs w:val="0"/>
            <w:i w:val="0"/>
            <w:iCs w:val="0"/>
            <w:noProof/>
            <w:kern w:val="0"/>
            <w:sz w:val="21"/>
            <w:szCs w:val="21"/>
          </w:rPr>
          <w:tab/>
        </w:r>
        <w:r w:rsidR="0044241F" w:rsidRPr="0044241F">
          <w:rPr>
            <w:rStyle w:val="ae"/>
            <w:i w:val="0"/>
            <w:noProof/>
            <w:sz w:val="21"/>
            <w:szCs w:val="21"/>
          </w:rPr>
          <w:t>Supporting the indication in RAN2 LS, at least 8 sub-groups per PO should be considered.</w:t>
        </w:r>
      </w:hyperlink>
    </w:p>
    <w:p w:rsidR="0044241F" w:rsidRPr="0044241F" w:rsidRDefault="006F0D20" w:rsidP="0044241F">
      <w:pPr>
        <w:pStyle w:val="10"/>
        <w:tabs>
          <w:tab w:val="left" w:pos="1282"/>
        </w:tabs>
        <w:spacing w:before="120" w:after="120"/>
        <w:jc w:val="both"/>
        <w:rPr>
          <w:rFonts w:asciiTheme="minorHAnsi" w:hAnsiTheme="minorHAnsi" w:cstheme="minorBidi"/>
          <w:b w:val="0"/>
          <w:bCs w:val="0"/>
          <w:i w:val="0"/>
          <w:iCs w:val="0"/>
          <w:noProof/>
          <w:kern w:val="0"/>
          <w:sz w:val="21"/>
          <w:szCs w:val="21"/>
        </w:rPr>
      </w:pPr>
      <w:hyperlink w:anchor="_Toc71619147" w:history="1">
        <w:r w:rsidR="0044241F" w:rsidRPr="0044241F">
          <w:rPr>
            <w:rStyle w:val="ae"/>
            <w:rFonts w:eastAsia="宋体"/>
            <w:i w:val="0"/>
            <w:noProof/>
            <w:sz w:val="21"/>
            <w:szCs w:val="21"/>
          </w:rPr>
          <w:t>Proposal 2:</w:t>
        </w:r>
        <w:r w:rsidR="0044241F" w:rsidRPr="0044241F">
          <w:rPr>
            <w:rFonts w:asciiTheme="minorHAnsi" w:hAnsiTheme="minorHAnsi" w:cstheme="minorBidi"/>
            <w:b w:val="0"/>
            <w:bCs w:val="0"/>
            <w:i w:val="0"/>
            <w:iCs w:val="0"/>
            <w:noProof/>
            <w:kern w:val="0"/>
            <w:sz w:val="21"/>
            <w:szCs w:val="21"/>
          </w:rPr>
          <w:tab/>
        </w:r>
        <w:r w:rsidR="0044241F" w:rsidRPr="0044241F">
          <w:rPr>
            <w:rStyle w:val="ae"/>
            <w:i w:val="0"/>
            <w:noProof/>
            <w:sz w:val="21"/>
            <w:szCs w:val="21"/>
          </w:rPr>
          <w:t>The combination of PEI and sub-grouping indication should be supported.</w:t>
        </w:r>
      </w:hyperlink>
    </w:p>
    <w:p w:rsidR="0044241F" w:rsidRPr="0044241F" w:rsidRDefault="006F0D20" w:rsidP="0044241F">
      <w:pPr>
        <w:pStyle w:val="10"/>
        <w:tabs>
          <w:tab w:val="left" w:pos="1282"/>
        </w:tabs>
        <w:spacing w:before="120" w:after="120"/>
        <w:jc w:val="both"/>
        <w:rPr>
          <w:rFonts w:asciiTheme="minorHAnsi" w:hAnsiTheme="minorHAnsi" w:cstheme="minorBidi"/>
          <w:b w:val="0"/>
          <w:bCs w:val="0"/>
          <w:i w:val="0"/>
          <w:iCs w:val="0"/>
          <w:noProof/>
          <w:kern w:val="0"/>
          <w:sz w:val="21"/>
          <w:szCs w:val="21"/>
        </w:rPr>
      </w:pPr>
      <w:hyperlink w:anchor="_Toc71619148" w:history="1">
        <w:r w:rsidR="0044241F" w:rsidRPr="0044241F">
          <w:rPr>
            <w:rStyle w:val="ae"/>
            <w:rFonts w:eastAsia="宋体"/>
            <w:i w:val="0"/>
            <w:noProof/>
            <w:sz w:val="21"/>
            <w:szCs w:val="21"/>
          </w:rPr>
          <w:t>Proposal 3:</w:t>
        </w:r>
        <w:r w:rsidR="0044241F" w:rsidRPr="0044241F">
          <w:rPr>
            <w:rFonts w:asciiTheme="minorHAnsi" w:hAnsiTheme="minorHAnsi" w:cstheme="minorBidi"/>
            <w:b w:val="0"/>
            <w:bCs w:val="0"/>
            <w:i w:val="0"/>
            <w:iCs w:val="0"/>
            <w:noProof/>
            <w:kern w:val="0"/>
            <w:sz w:val="21"/>
            <w:szCs w:val="21"/>
          </w:rPr>
          <w:tab/>
        </w:r>
        <w:r w:rsidR="0044241F" w:rsidRPr="0044241F">
          <w:rPr>
            <w:rStyle w:val="ae"/>
            <w:i w:val="0"/>
            <w:noProof/>
            <w:sz w:val="21"/>
            <w:szCs w:val="21"/>
          </w:rPr>
          <w:t>The following reply LS is suggested.</w:t>
        </w:r>
      </w:hyperlink>
    </w:p>
    <w:p w:rsidR="00B85C39" w:rsidRDefault="007715FD" w:rsidP="0044241F">
      <w:pPr>
        <w:spacing w:before="120" w:after="120"/>
      </w:pPr>
      <w:r w:rsidRPr="0044241F">
        <w:rPr>
          <w:szCs w:val="21"/>
        </w:rPr>
        <w:fldChar w:fldCharType="end"/>
      </w:r>
    </w:p>
    <w:tbl>
      <w:tblPr>
        <w:tblStyle w:val="ab"/>
        <w:tblW w:w="0" w:type="auto"/>
        <w:tblLook w:val="04A0" w:firstRow="1" w:lastRow="0" w:firstColumn="1" w:lastColumn="0" w:noHBand="0" w:noVBand="1"/>
      </w:tblPr>
      <w:tblGrid>
        <w:gridCol w:w="9876"/>
      </w:tblGrid>
      <w:tr w:rsidR="0044241F" w:rsidTr="0044241F">
        <w:tc>
          <w:tcPr>
            <w:tcW w:w="9876" w:type="dxa"/>
          </w:tcPr>
          <w:p w:rsidR="0044241F" w:rsidRDefault="0044241F" w:rsidP="0044241F">
            <w:pPr>
              <w:spacing w:beforeLines="0" w:afterLines="0"/>
              <w:rPr>
                <w:color w:val="000000"/>
                <w:szCs w:val="21"/>
              </w:rPr>
            </w:pPr>
            <w:r>
              <w:rPr>
                <w:b/>
                <w:color w:val="000000"/>
                <w:szCs w:val="21"/>
              </w:rPr>
              <w:t xml:space="preserve">1. Overall Description: </w:t>
            </w:r>
          </w:p>
          <w:p w:rsidR="0044241F" w:rsidRDefault="0044241F" w:rsidP="0044241F">
            <w:pPr>
              <w:spacing w:beforeLines="0" w:afterLines="0"/>
              <w:rPr>
                <w:color w:val="000000"/>
                <w:szCs w:val="21"/>
              </w:rPr>
            </w:pPr>
            <w:r>
              <w:rPr>
                <w:color w:val="000000"/>
                <w:szCs w:val="21"/>
              </w:rPr>
              <w:t xml:space="preserve">RAN1 would like to thank RAN2 for the LS on UE sub-grouping mechanism for paging enhancements and the number of sub-groups per PO. RAN1 discussed this topic and agreed to the following: </w:t>
            </w:r>
          </w:p>
          <w:p w:rsidR="0044241F" w:rsidRDefault="0044241F" w:rsidP="0044241F">
            <w:pPr>
              <w:numPr>
                <w:ilvl w:val="0"/>
                <w:numId w:val="8"/>
              </w:numPr>
              <w:spacing w:beforeLines="0" w:afterLines="0"/>
              <w:rPr>
                <w:color w:val="000000"/>
                <w:szCs w:val="21"/>
              </w:rPr>
            </w:pPr>
            <w:r>
              <w:rPr>
                <w:color w:val="000000"/>
                <w:szCs w:val="21"/>
              </w:rPr>
              <w:t xml:space="preserve">RAN1 </w:t>
            </w:r>
            <w:r w:rsidR="00487405">
              <w:rPr>
                <w:color w:val="000000"/>
                <w:szCs w:val="21"/>
              </w:rPr>
              <w:t xml:space="preserve">supports </w:t>
            </w:r>
            <w:bookmarkStart w:id="18" w:name="_GoBack"/>
            <w:bookmarkEnd w:id="18"/>
            <w:r>
              <w:rPr>
                <w:color w:val="000000"/>
                <w:szCs w:val="21"/>
              </w:rPr>
              <w:t>RAN2’s indication that the maximum number of UE subgroups per PO should be at least 8.</w:t>
            </w:r>
          </w:p>
          <w:p w:rsidR="0044241F" w:rsidRDefault="0044241F" w:rsidP="0044241F">
            <w:pPr>
              <w:numPr>
                <w:ilvl w:val="0"/>
                <w:numId w:val="8"/>
              </w:numPr>
              <w:spacing w:beforeLines="0" w:afterLines="0"/>
              <w:rPr>
                <w:color w:val="000000"/>
                <w:szCs w:val="21"/>
              </w:rPr>
            </w:pPr>
            <w:r>
              <w:rPr>
                <w:color w:val="000000"/>
                <w:szCs w:val="21"/>
              </w:rPr>
              <w:t>RAN1 agreed that the sub-grouping information per PO is carried by PEI.</w:t>
            </w:r>
          </w:p>
          <w:p w:rsidR="0044241F" w:rsidRDefault="0044241F" w:rsidP="0044241F">
            <w:pPr>
              <w:spacing w:beforeLines="0" w:afterLines="0"/>
              <w:rPr>
                <w:color w:val="000000"/>
                <w:szCs w:val="21"/>
              </w:rPr>
            </w:pPr>
          </w:p>
          <w:p w:rsidR="0044241F" w:rsidRDefault="0044241F" w:rsidP="0044241F">
            <w:pPr>
              <w:spacing w:beforeLines="0" w:afterLines="0"/>
              <w:rPr>
                <w:color w:val="000000"/>
                <w:szCs w:val="21"/>
              </w:rPr>
            </w:pPr>
            <w:r>
              <w:rPr>
                <w:b/>
                <w:color w:val="000000"/>
                <w:szCs w:val="21"/>
              </w:rPr>
              <w:t xml:space="preserve">2. Actions: </w:t>
            </w:r>
          </w:p>
          <w:p w:rsidR="0044241F" w:rsidRDefault="0044241F" w:rsidP="0044241F">
            <w:pPr>
              <w:spacing w:beforeLines="0" w:afterLines="0"/>
              <w:rPr>
                <w:color w:val="000000"/>
                <w:szCs w:val="21"/>
              </w:rPr>
            </w:pPr>
            <w:r>
              <w:rPr>
                <w:b/>
                <w:color w:val="000000"/>
                <w:szCs w:val="21"/>
              </w:rPr>
              <w:t xml:space="preserve">To RAN2: </w:t>
            </w:r>
          </w:p>
          <w:p w:rsidR="0044241F" w:rsidRDefault="0044241F" w:rsidP="0044241F">
            <w:pPr>
              <w:spacing w:before="120" w:after="120"/>
            </w:pPr>
            <w:r>
              <w:rPr>
                <w:color w:val="000000"/>
                <w:szCs w:val="21"/>
              </w:rPr>
              <w:t xml:space="preserve">RAN1 respectfully asks RAN2 to take the above information into account for RAN2’s future work. </w:t>
            </w:r>
          </w:p>
        </w:tc>
      </w:tr>
    </w:tbl>
    <w:p w:rsidR="00B85C39" w:rsidRDefault="00B85C39">
      <w:pPr>
        <w:spacing w:before="120" w:after="120"/>
      </w:pPr>
    </w:p>
    <w:p w:rsidR="00B85C39" w:rsidRDefault="007715FD">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References</w:t>
      </w:r>
    </w:p>
    <w:p w:rsidR="00B85C39" w:rsidRDefault="007715FD">
      <w:pPr>
        <w:pStyle w:val="References"/>
        <w:spacing w:before="120" w:after="120"/>
      </w:pPr>
      <w:bookmarkStart w:id="19" w:name="_Ref17466"/>
      <w:r>
        <w:t>R1-2104229</w:t>
      </w:r>
      <w:r>
        <w:rPr>
          <w:rFonts w:hint="eastAsia"/>
        </w:rPr>
        <w:t xml:space="preserve">, </w:t>
      </w:r>
      <w:r>
        <w:t>Reply LS on UE Sub-grouping for Paging Enhancement</w:t>
      </w:r>
      <w:r>
        <w:rPr>
          <w:rFonts w:hint="eastAsia"/>
        </w:rPr>
        <w:t xml:space="preserve">, </w:t>
      </w:r>
      <w:r>
        <w:rPr>
          <w:szCs w:val="20"/>
        </w:rPr>
        <w:t>RAN2, MediaTek</w:t>
      </w:r>
      <w:r>
        <w:t xml:space="preserve">, </w:t>
      </w:r>
      <w:r>
        <w:rPr>
          <w:rFonts w:hint="eastAsia"/>
        </w:rPr>
        <w:t>2021-0</w:t>
      </w:r>
      <w:r>
        <w:t>5</w:t>
      </w:r>
      <w:r>
        <w:rPr>
          <w:rFonts w:hint="eastAsia"/>
        </w:rPr>
        <w:t>.</w:t>
      </w:r>
    </w:p>
    <w:p w:rsidR="00B85C39" w:rsidRDefault="007715FD">
      <w:pPr>
        <w:pStyle w:val="References"/>
        <w:spacing w:before="120" w:after="120"/>
        <w:ind w:left="363" w:hanging="363"/>
        <w:rPr>
          <w:szCs w:val="20"/>
        </w:rPr>
      </w:pPr>
      <w:r>
        <w:rPr>
          <w:rFonts w:hint="eastAsia"/>
          <w:szCs w:val="20"/>
        </w:rPr>
        <w:t>Chairman's Notes RAN1#103-e, 2021-0</w:t>
      </w:r>
      <w:r>
        <w:rPr>
          <w:szCs w:val="20"/>
        </w:rPr>
        <w:t>2</w:t>
      </w:r>
      <w:r>
        <w:rPr>
          <w:rFonts w:hint="eastAsia"/>
          <w:szCs w:val="20"/>
        </w:rPr>
        <w:t>.</w:t>
      </w:r>
    </w:p>
    <w:bookmarkEnd w:id="19"/>
    <w:p w:rsidR="00B85C39" w:rsidRDefault="00B85C39">
      <w:pPr>
        <w:pStyle w:val="References"/>
        <w:numPr>
          <w:ilvl w:val="0"/>
          <w:numId w:val="0"/>
        </w:numPr>
        <w:spacing w:before="120" w:after="120"/>
        <w:rPr>
          <w:szCs w:val="20"/>
        </w:rPr>
      </w:pPr>
    </w:p>
    <w:sectPr w:rsidR="00B85C39">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D20" w:rsidRDefault="006F0D20">
      <w:pPr>
        <w:spacing w:before="120" w:after="120" w:line="240" w:lineRule="auto"/>
      </w:pPr>
      <w:r>
        <w:separator/>
      </w:r>
    </w:p>
  </w:endnote>
  <w:endnote w:type="continuationSeparator" w:id="0">
    <w:p w:rsidR="006F0D20" w:rsidRDefault="006F0D20">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UI">
    <w:panose1 w:val="020B0503020204020204"/>
    <w:charset w:val="86"/>
    <w:family w:val="swiss"/>
    <w:notTrueType/>
    <w:pitch w:val="variable"/>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C39" w:rsidRDefault="00B85C39">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C39" w:rsidRDefault="007715FD">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85C39" w:rsidRDefault="007715FD">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487405">
                            <w:rPr>
                              <w:noProof/>
                            </w:rP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85C39" w:rsidRDefault="007715FD">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487405">
                      <w:rPr>
                        <w:noProof/>
                      </w:rPr>
                      <w:t>4</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C39" w:rsidRDefault="00B85C39">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D20" w:rsidRDefault="006F0D20">
      <w:pPr>
        <w:spacing w:before="120" w:after="120" w:line="240" w:lineRule="auto"/>
      </w:pPr>
      <w:r>
        <w:separator/>
      </w:r>
    </w:p>
  </w:footnote>
  <w:footnote w:type="continuationSeparator" w:id="0">
    <w:p w:rsidR="006F0D20" w:rsidRDefault="006F0D20">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C39" w:rsidRDefault="00B85C39">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C39" w:rsidRDefault="00B85C39">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C39" w:rsidRDefault="00B85C39">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D8C8BCAC"/>
    <w:multiLevelType w:val="singleLevel"/>
    <w:tmpl w:val="D8C8BCAC"/>
    <w:lvl w:ilvl="0">
      <w:start w:val="1"/>
      <w:numFmt w:val="bullet"/>
      <w:lvlText w:val=""/>
      <w:lvlJc w:val="left"/>
      <w:pPr>
        <w:ind w:left="420" w:hanging="420"/>
      </w:pPr>
      <w:rPr>
        <w:rFonts w:ascii="Wingdings" w:hAnsi="Wingdings" w:hint="default"/>
        <w:sz w:val="15"/>
        <w:szCs w:val="15"/>
      </w:rPr>
    </w:lvl>
  </w:abstractNum>
  <w:abstractNum w:abstractNumId="4">
    <w:nsid w:val="073403D1"/>
    <w:multiLevelType w:val="multilevel"/>
    <w:tmpl w:val="073403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5245"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8">
    <w:nsid w:val="79E81825"/>
    <w:multiLevelType w:val="multilevel"/>
    <w:tmpl w:val="79E8182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5"/>
  </w:num>
  <w:num w:numId="2">
    <w:abstractNumId w:val="0"/>
  </w:num>
  <w:num w:numId="3">
    <w:abstractNumId w:val="2"/>
  </w:num>
  <w:num w:numId="4">
    <w:abstractNumId w:val="9"/>
  </w:num>
  <w:num w:numId="5">
    <w:abstractNumId w:val="1"/>
  </w:num>
  <w:num w:numId="6">
    <w:abstractNumId w:val="7"/>
  </w:num>
  <w:num w:numId="7">
    <w:abstractNumId w:val="6"/>
  </w:num>
  <w:num w:numId="8">
    <w:abstractNumId w:val="3"/>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E89"/>
    <w:rsid w:val="00013735"/>
    <w:rsid w:val="00015154"/>
    <w:rsid w:val="00015EDB"/>
    <w:rsid w:val="00042E39"/>
    <w:rsid w:val="0004491B"/>
    <w:rsid w:val="000A0061"/>
    <w:rsid w:val="000A6B3B"/>
    <w:rsid w:val="000B63CC"/>
    <w:rsid w:val="000C7C50"/>
    <w:rsid w:val="000F72AD"/>
    <w:rsid w:val="0013275E"/>
    <w:rsid w:val="001506E9"/>
    <w:rsid w:val="00166DD7"/>
    <w:rsid w:val="00172A27"/>
    <w:rsid w:val="0019443E"/>
    <w:rsid w:val="001B6A16"/>
    <w:rsid w:val="001C396E"/>
    <w:rsid w:val="00200427"/>
    <w:rsid w:val="002254E5"/>
    <w:rsid w:val="0026734A"/>
    <w:rsid w:val="00272E7B"/>
    <w:rsid w:val="00291E13"/>
    <w:rsid w:val="002A1851"/>
    <w:rsid w:val="002E6D1A"/>
    <w:rsid w:val="00303048"/>
    <w:rsid w:val="00331EF2"/>
    <w:rsid w:val="00367434"/>
    <w:rsid w:val="00370C23"/>
    <w:rsid w:val="00371CBB"/>
    <w:rsid w:val="00375A07"/>
    <w:rsid w:val="00380742"/>
    <w:rsid w:val="00396ADB"/>
    <w:rsid w:val="003A103D"/>
    <w:rsid w:val="003B1149"/>
    <w:rsid w:val="003E4BBB"/>
    <w:rsid w:val="004265D0"/>
    <w:rsid w:val="00441FB9"/>
    <w:rsid w:val="0044241F"/>
    <w:rsid w:val="00453986"/>
    <w:rsid w:val="0045623B"/>
    <w:rsid w:val="00461AA7"/>
    <w:rsid w:val="00487405"/>
    <w:rsid w:val="00496216"/>
    <w:rsid w:val="004A5821"/>
    <w:rsid w:val="004C05FA"/>
    <w:rsid w:val="004C1151"/>
    <w:rsid w:val="004C7FE3"/>
    <w:rsid w:val="004F342B"/>
    <w:rsid w:val="00517339"/>
    <w:rsid w:val="005212D2"/>
    <w:rsid w:val="005228C9"/>
    <w:rsid w:val="00522A39"/>
    <w:rsid w:val="005650A3"/>
    <w:rsid w:val="00566FDE"/>
    <w:rsid w:val="00583697"/>
    <w:rsid w:val="0058704C"/>
    <w:rsid w:val="00597ADE"/>
    <w:rsid w:val="005B065E"/>
    <w:rsid w:val="005D14DB"/>
    <w:rsid w:val="005F1A12"/>
    <w:rsid w:val="0062167D"/>
    <w:rsid w:val="00633C6F"/>
    <w:rsid w:val="0063757E"/>
    <w:rsid w:val="006432A2"/>
    <w:rsid w:val="00643612"/>
    <w:rsid w:val="00677C91"/>
    <w:rsid w:val="006970AA"/>
    <w:rsid w:val="006B63E2"/>
    <w:rsid w:val="006C61BF"/>
    <w:rsid w:val="006D42B1"/>
    <w:rsid w:val="006F0B4C"/>
    <w:rsid w:val="006F0D20"/>
    <w:rsid w:val="00711D48"/>
    <w:rsid w:val="00713810"/>
    <w:rsid w:val="007166E8"/>
    <w:rsid w:val="0074089D"/>
    <w:rsid w:val="007476DD"/>
    <w:rsid w:val="007715FD"/>
    <w:rsid w:val="007A24B9"/>
    <w:rsid w:val="007B0734"/>
    <w:rsid w:val="007B379C"/>
    <w:rsid w:val="007C6A0A"/>
    <w:rsid w:val="007F5FF3"/>
    <w:rsid w:val="007F6B9D"/>
    <w:rsid w:val="00817DE9"/>
    <w:rsid w:val="00851EBC"/>
    <w:rsid w:val="008650A2"/>
    <w:rsid w:val="0087435E"/>
    <w:rsid w:val="00880E89"/>
    <w:rsid w:val="008A0205"/>
    <w:rsid w:val="008B15EC"/>
    <w:rsid w:val="008B7DB1"/>
    <w:rsid w:val="008D230F"/>
    <w:rsid w:val="008D38A0"/>
    <w:rsid w:val="008E587D"/>
    <w:rsid w:val="008E5DA1"/>
    <w:rsid w:val="008E617E"/>
    <w:rsid w:val="008F11DE"/>
    <w:rsid w:val="00930332"/>
    <w:rsid w:val="00953CDE"/>
    <w:rsid w:val="0096044C"/>
    <w:rsid w:val="0099436F"/>
    <w:rsid w:val="009944AA"/>
    <w:rsid w:val="009E3CEF"/>
    <w:rsid w:val="00A02943"/>
    <w:rsid w:val="00A06031"/>
    <w:rsid w:val="00A14FF2"/>
    <w:rsid w:val="00A46CC4"/>
    <w:rsid w:val="00A57F9E"/>
    <w:rsid w:val="00A84210"/>
    <w:rsid w:val="00A878AE"/>
    <w:rsid w:val="00A92636"/>
    <w:rsid w:val="00A941B0"/>
    <w:rsid w:val="00AA6E04"/>
    <w:rsid w:val="00AB0A60"/>
    <w:rsid w:val="00AC1BA2"/>
    <w:rsid w:val="00AD4752"/>
    <w:rsid w:val="00B81A6F"/>
    <w:rsid w:val="00B85C39"/>
    <w:rsid w:val="00BC22AE"/>
    <w:rsid w:val="00BD6309"/>
    <w:rsid w:val="00BF4B0E"/>
    <w:rsid w:val="00C039ED"/>
    <w:rsid w:val="00C134B6"/>
    <w:rsid w:val="00C137DB"/>
    <w:rsid w:val="00C166BC"/>
    <w:rsid w:val="00C239A8"/>
    <w:rsid w:val="00C27740"/>
    <w:rsid w:val="00C37341"/>
    <w:rsid w:val="00C637DC"/>
    <w:rsid w:val="00CA1480"/>
    <w:rsid w:val="00CA1DBD"/>
    <w:rsid w:val="00CB7131"/>
    <w:rsid w:val="00CC4532"/>
    <w:rsid w:val="00CD3761"/>
    <w:rsid w:val="00D01D40"/>
    <w:rsid w:val="00D20A97"/>
    <w:rsid w:val="00D40D43"/>
    <w:rsid w:val="00D5574F"/>
    <w:rsid w:val="00DA5F51"/>
    <w:rsid w:val="00DC0F8B"/>
    <w:rsid w:val="00E06B21"/>
    <w:rsid w:val="00E2140B"/>
    <w:rsid w:val="00E26C24"/>
    <w:rsid w:val="00E40E07"/>
    <w:rsid w:val="00E67314"/>
    <w:rsid w:val="00E77887"/>
    <w:rsid w:val="00EA62E5"/>
    <w:rsid w:val="00F01154"/>
    <w:rsid w:val="00F4095D"/>
    <w:rsid w:val="00F40E52"/>
    <w:rsid w:val="00F765F4"/>
    <w:rsid w:val="00F97C0B"/>
    <w:rsid w:val="00FA3BED"/>
    <w:rsid w:val="00FD2DE4"/>
    <w:rsid w:val="00FE01EF"/>
    <w:rsid w:val="00FE4365"/>
    <w:rsid w:val="00FF2B35"/>
    <w:rsid w:val="01166C39"/>
    <w:rsid w:val="01307DB8"/>
    <w:rsid w:val="01764F01"/>
    <w:rsid w:val="019E0494"/>
    <w:rsid w:val="01BC6EAA"/>
    <w:rsid w:val="01BD387A"/>
    <w:rsid w:val="01EA1306"/>
    <w:rsid w:val="01ED62FC"/>
    <w:rsid w:val="01FD3C72"/>
    <w:rsid w:val="024D6B6A"/>
    <w:rsid w:val="02585A0D"/>
    <w:rsid w:val="029B04E7"/>
    <w:rsid w:val="03073BDC"/>
    <w:rsid w:val="032134E9"/>
    <w:rsid w:val="033F44DC"/>
    <w:rsid w:val="037A3206"/>
    <w:rsid w:val="037B5FB5"/>
    <w:rsid w:val="03915DEB"/>
    <w:rsid w:val="03985ACE"/>
    <w:rsid w:val="03D4716A"/>
    <w:rsid w:val="042900C9"/>
    <w:rsid w:val="0555228E"/>
    <w:rsid w:val="056C3AED"/>
    <w:rsid w:val="058A1330"/>
    <w:rsid w:val="059D1E39"/>
    <w:rsid w:val="05E078B3"/>
    <w:rsid w:val="064035FC"/>
    <w:rsid w:val="070C599D"/>
    <w:rsid w:val="07250881"/>
    <w:rsid w:val="072B5A2B"/>
    <w:rsid w:val="077D0583"/>
    <w:rsid w:val="077E373B"/>
    <w:rsid w:val="079724D0"/>
    <w:rsid w:val="07A3082E"/>
    <w:rsid w:val="082A352F"/>
    <w:rsid w:val="084343C9"/>
    <w:rsid w:val="088E2DBB"/>
    <w:rsid w:val="089D5DBC"/>
    <w:rsid w:val="08C349D1"/>
    <w:rsid w:val="08CC0D13"/>
    <w:rsid w:val="093D6246"/>
    <w:rsid w:val="094A5FC4"/>
    <w:rsid w:val="09F67CD5"/>
    <w:rsid w:val="0B3D5147"/>
    <w:rsid w:val="0B6B20A7"/>
    <w:rsid w:val="0B9E71DF"/>
    <w:rsid w:val="0BB427D1"/>
    <w:rsid w:val="0BCD5C26"/>
    <w:rsid w:val="0C6F272A"/>
    <w:rsid w:val="0C9036C8"/>
    <w:rsid w:val="0C9D30C2"/>
    <w:rsid w:val="0CA126F2"/>
    <w:rsid w:val="0CEA509E"/>
    <w:rsid w:val="0D2F3891"/>
    <w:rsid w:val="0D9D65F4"/>
    <w:rsid w:val="0E172BD0"/>
    <w:rsid w:val="0E6A1ECE"/>
    <w:rsid w:val="0E9B4F32"/>
    <w:rsid w:val="0EC34966"/>
    <w:rsid w:val="0F0B4FFE"/>
    <w:rsid w:val="0F1E67DB"/>
    <w:rsid w:val="0FD80B60"/>
    <w:rsid w:val="0FDB5B48"/>
    <w:rsid w:val="10860503"/>
    <w:rsid w:val="10A50104"/>
    <w:rsid w:val="10B658BE"/>
    <w:rsid w:val="10BA5ACA"/>
    <w:rsid w:val="10FA22E3"/>
    <w:rsid w:val="115B3410"/>
    <w:rsid w:val="117A531D"/>
    <w:rsid w:val="119D7849"/>
    <w:rsid w:val="11AC1F75"/>
    <w:rsid w:val="1242135C"/>
    <w:rsid w:val="12AE3906"/>
    <w:rsid w:val="12C76FC6"/>
    <w:rsid w:val="12CB14EC"/>
    <w:rsid w:val="12D00DD7"/>
    <w:rsid w:val="13344428"/>
    <w:rsid w:val="133C5CE2"/>
    <w:rsid w:val="136C3D77"/>
    <w:rsid w:val="139D335C"/>
    <w:rsid w:val="13A1683F"/>
    <w:rsid w:val="1442596B"/>
    <w:rsid w:val="144714E3"/>
    <w:rsid w:val="146A0337"/>
    <w:rsid w:val="14AC00B9"/>
    <w:rsid w:val="14D55B5C"/>
    <w:rsid w:val="14DA3DA1"/>
    <w:rsid w:val="14FC2402"/>
    <w:rsid w:val="155F3495"/>
    <w:rsid w:val="15BB7E2E"/>
    <w:rsid w:val="164B2296"/>
    <w:rsid w:val="17155857"/>
    <w:rsid w:val="17950508"/>
    <w:rsid w:val="18537599"/>
    <w:rsid w:val="18F90C9A"/>
    <w:rsid w:val="19010C43"/>
    <w:rsid w:val="19084C73"/>
    <w:rsid w:val="194F6F37"/>
    <w:rsid w:val="196018AD"/>
    <w:rsid w:val="196E5824"/>
    <w:rsid w:val="19AF5AFD"/>
    <w:rsid w:val="19BF7943"/>
    <w:rsid w:val="1A054259"/>
    <w:rsid w:val="1A097942"/>
    <w:rsid w:val="1ACB6909"/>
    <w:rsid w:val="1B2B6940"/>
    <w:rsid w:val="1B7F6005"/>
    <w:rsid w:val="1BAF4E35"/>
    <w:rsid w:val="1BAF6DD1"/>
    <w:rsid w:val="1BE82D8F"/>
    <w:rsid w:val="1C0F5C4A"/>
    <w:rsid w:val="1C132CB9"/>
    <w:rsid w:val="1C346C57"/>
    <w:rsid w:val="1CAA2901"/>
    <w:rsid w:val="1CCC26CA"/>
    <w:rsid w:val="1D133E21"/>
    <w:rsid w:val="1D6041FB"/>
    <w:rsid w:val="1DA83A0D"/>
    <w:rsid w:val="1DDF2ACE"/>
    <w:rsid w:val="1E94181D"/>
    <w:rsid w:val="1E9D6342"/>
    <w:rsid w:val="1EBF09C1"/>
    <w:rsid w:val="1ECD4B11"/>
    <w:rsid w:val="1EF17B6F"/>
    <w:rsid w:val="1F6170A9"/>
    <w:rsid w:val="1F6200DE"/>
    <w:rsid w:val="1F652C38"/>
    <w:rsid w:val="1F9C5BBE"/>
    <w:rsid w:val="1FE14460"/>
    <w:rsid w:val="20200CA4"/>
    <w:rsid w:val="204E6676"/>
    <w:rsid w:val="205C6F65"/>
    <w:rsid w:val="205F334B"/>
    <w:rsid w:val="20AA7DFE"/>
    <w:rsid w:val="20CB576A"/>
    <w:rsid w:val="20DC4C14"/>
    <w:rsid w:val="210634E6"/>
    <w:rsid w:val="21241A3D"/>
    <w:rsid w:val="215416B9"/>
    <w:rsid w:val="2194141D"/>
    <w:rsid w:val="2195668B"/>
    <w:rsid w:val="21A2535F"/>
    <w:rsid w:val="21AC0BE7"/>
    <w:rsid w:val="21BE5AD4"/>
    <w:rsid w:val="21CA2BAC"/>
    <w:rsid w:val="224E2FB0"/>
    <w:rsid w:val="22C84A78"/>
    <w:rsid w:val="23081A49"/>
    <w:rsid w:val="23A82A04"/>
    <w:rsid w:val="24210188"/>
    <w:rsid w:val="24582DBC"/>
    <w:rsid w:val="245C52F8"/>
    <w:rsid w:val="2463385E"/>
    <w:rsid w:val="24B3612C"/>
    <w:rsid w:val="24DC7AA4"/>
    <w:rsid w:val="250D568B"/>
    <w:rsid w:val="25134332"/>
    <w:rsid w:val="25191F5C"/>
    <w:rsid w:val="254C3941"/>
    <w:rsid w:val="257E508F"/>
    <w:rsid w:val="25E06614"/>
    <w:rsid w:val="26BF5712"/>
    <w:rsid w:val="26C46931"/>
    <w:rsid w:val="26F173AA"/>
    <w:rsid w:val="26F24A28"/>
    <w:rsid w:val="26F71EC7"/>
    <w:rsid w:val="274120CE"/>
    <w:rsid w:val="276D22A6"/>
    <w:rsid w:val="27805ED2"/>
    <w:rsid w:val="27AB7429"/>
    <w:rsid w:val="27F713BD"/>
    <w:rsid w:val="280D0ABD"/>
    <w:rsid w:val="285C053E"/>
    <w:rsid w:val="28641BC7"/>
    <w:rsid w:val="28706B14"/>
    <w:rsid w:val="28795D57"/>
    <w:rsid w:val="28CB2F20"/>
    <w:rsid w:val="2945677B"/>
    <w:rsid w:val="296A164B"/>
    <w:rsid w:val="299711A3"/>
    <w:rsid w:val="29FA7F26"/>
    <w:rsid w:val="2A0F0262"/>
    <w:rsid w:val="2A11490E"/>
    <w:rsid w:val="2A7903F8"/>
    <w:rsid w:val="2AD176E8"/>
    <w:rsid w:val="2B774832"/>
    <w:rsid w:val="2BE1364E"/>
    <w:rsid w:val="2C5312D1"/>
    <w:rsid w:val="2C9B39D4"/>
    <w:rsid w:val="2CDB2A32"/>
    <w:rsid w:val="2D036243"/>
    <w:rsid w:val="2D11052F"/>
    <w:rsid w:val="2D2713FE"/>
    <w:rsid w:val="2DAA1531"/>
    <w:rsid w:val="2DD31482"/>
    <w:rsid w:val="2DED4837"/>
    <w:rsid w:val="2DF81D7C"/>
    <w:rsid w:val="2DFC12C6"/>
    <w:rsid w:val="2E9F709C"/>
    <w:rsid w:val="2ED53BA8"/>
    <w:rsid w:val="2EED0A13"/>
    <w:rsid w:val="2F031089"/>
    <w:rsid w:val="2F1251F2"/>
    <w:rsid w:val="2FBD09F9"/>
    <w:rsid w:val="30660B82"/>
    <w:rsid w:val="30962F3E"/>
    <w:rsid w:val="309F648F"/>
    <w:rsid w:val="30AA51DE"/>
    <w:rsid w:val="30D17E68"/>
    <w:rsid w:val="30FF2795"/>
    <w:rsid w:val="310E3D65"/>
    <w:rsid w:val="3164591C"/>
    <w:rsid w:val="3199741D"/>
    <w:rsid w:val="31AA2223"/>
    <w:rsid w:val="31C63526"/>
    <w:rsid w:val="32586AD3"/>
    <w:rsid w:val="329A6ACE"/>
    <w:rsid w:val="34371266"/>
    <w:rsid w:val="345B1306"/>
    <w:rsid w:val="35191B59"/>
    <w:rsid w:val="35997ED3"/>
    <w:rsid w:val="35C47CF3"/>
    <w:rsid w:val="35D5780F"/>
    <w:rsid w:val="360B1D73"/>
    <w:rsid w:val="360B7EE7"/>
    <w:rsid w:val="361F3323"/>
    <w:rsid w:val="364A298F"/>
    <w:rsid w:val="364A7B2B"/>
    <w:rsid w:val="36E93760"/>
    <w:rsid w:val="3784394E"/>
    <w:rsid w:val="37F25734"/>
    <w:rsid w:val="380A0B96"/>
    <w:rsid w:val="38337F5B"/>
    <w:rsid w:val="385135F5"/>
    <w:rsid w:val="385F665C"/>
    <w:rsid w:val="38AE3BB0"/>
    <w:rsid w:val="38DC5505"/>
    <w:rsid w:val="391F7D60"/>
    <w:rsid w:val="39DB06B3"/>
    <w:rsid w:val="3A127976"/>
    <w:rsid w:val="3A1704BF"/>
    <w:rsid w:val="3AC253ED"/>
    <w:rsid w:val="3ACB5746"/>
    <w:rsid w:val="3AE826D9"/>
    <w:rsid w:val="3B047F30"/>
    <w:rsid w:val="3B3664CC"/>
    <w:rsid w:val="3BB20883"/>
    <w:rsid w:val="3BF5659F"/>
    <w:rsid w:val="3C134C38"/>
    <w:rsid w:val="3C394599"/>
    <w:rsid w:val="3C8C0B9E"/>
    <w:rsid w:val="3CE82456"/>
    <w:rsid w:val="3D1D3E8C"/>
    <w:rsid w:val="3D7830E2"/>
    <w:rsid w:val="3D9F080E"/>
    <w:rsid w:val="3DA8275C"/>
    <w:rsid w:val="3DAD7029"/>
    <w:rsid w:val="3E39525D"/>
    <w:rsid w:val="3E441C7D"/>
    <w:rsid w:val="3E7F0554"/>
    <w:rsid w:val="3F104E7C"/>
    <w:rsid w:val="3F1E19C9"/>
    <w:rsid w:val="3F8D2B60"/>
    <w:rsid w:val="3FC956FF"/>
    <w:rsid w:val="40375763"/>
    <w:rsid w:val="406B12D1"/>
    <w:rsid w:val="40903A47"/>
    <w:rsid w:val="40A36A71"/>
    <w:rsid w:val="40CB3E39"/>
    <w:rsid w:val="410E4736"/>
    <w:rsid w:val="4169226D"/>
    <w:rsid w:val="419752E1"/>
    <w:rsid w:val="41A14CA0"/>
    <w:rsid w:val="41BC286E"/>
    <w:rsid w:val="41C577BA"/>
    <w:rsid w:val="41D3631F"/>
    <w:rsid w:val="41F46181"/>
    <w:rsid w:val="41F466FD"/>
    <w:rsid w:val="422B0BD2"/>
    <w:rsid w:val="427E2C9C"/>
    <w:rsid w:val="428434A1"/>
    <w:rsid w:val="42A67A24"/>
    <w:rsid w:val="42D846B9"/>
    <w:rsid w:val="43015D68"/>
    <w:rsid w:val="432B156A"/>
    <w:rsid w:val="43625625"/>
    <w:rsid w:val="440D5045"/>
    <w:rsid w:val="44F5724A"/>
    <w:rsid w:val="4555581D"/>
    <w:rsid w:val="45BE6191"/>
    <w:rsid w:val="460C5979"/>
    <w:rsid w:val="46AC250E"/>
    <w:rsid w:val="46C56CAD"/>
    <w:rsid w:val="473430FD"/>
    <w:rsid w:val="47672D4D"/>
    <w:rsid w:val="47C01792"/>
    <w:rsid w:val="47C215CA"/>
    <w:rsid w:val="47D3679D"/>
    <w:rsid w:val="47E73D60"/>
    <w:rsid w:val="47F831A1"/>
    <w:rsid w:val="4808150F"/>
    <w:rsid w:val="483841CB"/>
    <w:rsid w:val="48C169FF"/>
    <w:rsid w:val="48D321B5"/>
    <w:rsid w:val="48DC6BCF"/>
    <w:rsid w:val="49E9233D"/>
    <w:rsid w:val="4A2C54FD"/>
    <w:rsid w:val="4AAD1944"/>
    <w:rsid w:val="4AC31003"/>
    <w:rsid w:val="4AE93159"/>
    <w:rsid w:val="4B0B4636"/>
    <w:rsid w:val="4B6F5171"/>
    <w:rsid w:val="4BD0339A"/>
    <w:rsid w:val="4BE255AD"/>
    <w:rsid w:val="4C247E4A"/>
    <w:rsid w:val="4C496DB3"/>
    <w:rsid w:val="4C8E2AE9"/>
    <w:rsid w:val="4D2455C6"/>
    <w:rsid w:val="4D462159"/>
    <w:rsid w:val="4D553300"/>
    <w:rsid w:val="4D5C5FAC"/>
    <w:rsid w:val="4DC605B6"/>
    <w:rsid w:val="4DEC0985"/>
    <w:rsid w:val="4E27683A"/>
    <w:rsid w:val="4EF32FFF"/>
    <w:rsid w:val="4F232A9C"/>
    <w:rsid w:val="4F2765B1"/>
    <w:rsid w:val="4F285975"/>
    <w:rsid w:val="4F5E2A8B"/>
    <w:rsid w:val="50290C55"/>
    <w:rsid w:val="50520EBB"/>
    <w:rsid w:val="50607024"/>
    <w:rsid w:val="50701CEF"/>
    <w:rsid w:val="50751061"/>
    <w:rsid w:val="507C5FAD"/>
    <w:rsid w:val="50BE2993"/>
    <w:rsid w:val="50D63702"/>
    <w:rsid w:val="51101AA1"/>
    <w:rsid w:val="512F1290"/>
    <w:rsid w:val="51796EDE"/>
    <w:rsid w:val="51867298"/>
    <w:rsid w:val="518D4602"/>
    <w:rsid w:val="52195EDF"/>
    <w:rsid w:val="52313387"/>
    <w:rsid w:val="52480238"/>
    <w:rsid w:val="529357CD"/>
    <w:rsid w:val="529526FD"/>
    <w:rsid w:val="52D4333A"/>
    <w:rsid w:val="52E04D27"/>
    <w:rsid w:val="53492294"/>
    <w:rsid w:val="539A390F"/>
    <w:rsid w:val="53DB3477"/>
    <w:rsid w:val="54AF6B42"/>
    <w:rsid w:val="54B205EE"/>
    <w:rsid w:val="54E218CB"/>
    <w:rsid w:val="54E44BF8"/>
    <w:rsid w:val="559C3368"/>
    <w:rsid w:val="55DD6F2A"/>
    <w:rsid w:val="55F72D1E"/>
    <w:rsid w:val="56022FBC"/>
    <w:rsid w:val="562805B1"/>
    <w:rsid w:val="56553261"/>
    <w:rsid w:val="565975B0"/>
    <w:rsid w:val="56B41A58"/>
    <w:rsid w:val="56BC356A"/>
    <w:rsid w:val="56E23970"/>
    <w:rsid w:val="573547FD"/>
    <w:rsid w:val="577A3C7D"/>
    <w:rsid w:val="578F220A"/>
    <w:rsid w:val="5798657F"/>
    <w:rsid w:val="57D503EA"/>
    <w:rsid w:val="57FC07D9"/>
    <w:rsid w:val="58500F22"/>
    <w:rsid w:val="58581669"/>
    <w:rsid w:val="590D1052"/>
    <w:rsid w:val="591C0009"/>
    <w:rsid w:val="59610A7F"/>
    <w:rsid w:val="59687D7F"/>
    <w:rsid w:val="59A81F44"/>
    <w:rsid w:val="59AA2571"/>
    <w:rsid w:val="59B15F48"/>
    <w:rsid w:val="59C600B6"/>
    <w:rsid w:val="5A07523D"/>
    <w:rsid w:val="5A553984"/>
    <w:rsid w:val="5ACF0F3A"/>
    <w:rsid w:val="5AD450DC"/>
    <w:rsid w:val="5AEE752B"/>
    <w:rsid w:val="5B7D506F"/>
    <w:rsid w:val="5BD20414"/>
    <w:rsid w:val="5BF54BBF"/>
    <w:rsid w:val="5C6B1600"/>
    <w:rsid w:val="5C921AD0"/>
    <w:rsid w:val="5CCD5BE1"/>
    <w:rsid w:val="5CD94ADB"/>
    <w:rsid w:val="5CE45D66"/>
    <w:rsid w:val="5D237020"/>
    <w:rsid w:val="5D3D3693"/>
    <w:rsid w:val="5DAE151D"/>
    <w:rsid w:val="5DC07B62"/>
    <w:rsid w:val="5DFD51DB"/>
    <w:rsid w:val="5E0D36E5"/>
    <w:rsid w:val="5E7510E4"/>
    <w:rsid w:val="5EBD3AB4"/>
    <w:rsid w:val="5ED711BC"/>
    <w:rsid w:val="5F0A3BA8"/>
    <w:rsid w:val="5F3D3A73"/>
    <w:rsid w:val="5FE87018"/>
    <w:rsid w:val="602765D8"/>
    <w:rsid w:val="607C3753"/>
    <w:rsid w:val="609578A8"/>
    <w:rsid w:val="60C30855"/>
    <w:rsid w:val="60CC7FFA"/>
    <w:rsid w:val="610B17E6"/>
    <w:rsid w:val="61421EFD"/>
    <w:rsid w:val="615C5041"/>
    <w:rsid w:val="61D705BD"/>
    <w:rsid w:val="61E56B7B"/>
    <w:rsid w:val="62420984"/>
    <w:rsid w:val="634B3A82"/>
    <w:rsid w:val="63D03DEE"/>
    <w:rsid w:val="641A2384"/>
    <w:rsid w:val="64EF3666"/>
    <w:rsid w:val="64FC1880"/>
    <w:rsid w:val="651B3798"/>
    <w:rsid w:val="65847BBF"/>
    <w:rsid w:val="65B57404"/>
    <w:rsid w:val="65B93A8D"/>
    <w:rsid w:val="661746DD"/>
    <w:rsid w:val="664805B8"/>
    <w:rsid w:val="66C053F3"/>
    <w:rsid w:val="66CD03F2"/>
    <w:rsid w:val="66D221EE"/>
    <w:rsid w:val="66DA55D7"/>
    <w:rsid w:val="66F82180"/>
    <w:rsid w:val="677D25E8"/>
    <w:rsid w:val="67BD0300"/>
    <w:rsid w:val="682616B3"/>
    <w:rsid w:val="684D34F9"/>
    <w:rsid w:val="68F533A3"/>
    <w:rsid w:val="690F418B"/>
    <w:rsid w:val="6A741183"/>
    <w:rsid w:val="6A7A2736"/>
    <w:rsid w:val="6A7B4B9C"/>
    <w:rsid w:val="6AA651A8"/>
    <w:rsid w:val="6AEB121D"/>
    <w:rsid w:val="6AFB78C4"/>
    <w:rsid w:val="6B004CFA"/>
    <w:rsid w:val="6B120A68"/>
    <w:rsid w:val="6B586E1F"/>
    <w:rsid w:val="6C89456C"/>
    <w:rsid w:val="6CA35C83"/>
    <w:rsid w:val="6CA52710"/>
    <w:rsid w:val="6CAC58B4"/>
    <w:rsid w:val="6D4A2539"/>
    <w:rsid w:val="6D97094D"/>
    <w:rsid w:val="6DF009F6"/>
    <w:rsid w:val="6E217EA6"/>
    <w:rsid w:val="6E2666BC"/>
    <w:rsid w:val="6E2F175D"/>
    <w:rsid w:val="6E8959F5"/>
    <w:rsid w:val="6EBC6999"/>
    <w:rsid w:val="6EDF5FC3"/>
    <w:rsid w:val="6EF90D33"/>
    <w:rsid w:val="6F3F60AD"/>
    <w:rsid w:val="6F7A5D4F"/>
    <w:rsid w:val="6F901B66"/>
    <w:rsid w:val="6FA629D4"/>
    <w:rsid w:val="6FA70F58"/>
    <w:rsid w:val="6FD10552"/>
    <w:rsid w:val="70014D67"/>
    <w:rsid w:val="70117B8A"/>
    <w:rsid w:val="70360B36"/>
    <w:rsid w:val="704F39D7"/>
    <w:rsid w:val="70BB2EF0"/>
    <w:rsid w:val="70CC6A1F"/>
    <w:rsid w:val="70CE0A84"/>
    <w:rsid w:val="70E10DC3"/>
    <w:rsid w:val="71095983"/>
    <w:rsid w:val="712D59A6"/>
    <w:rsid w:val="71475ADB"/>
    <w:rsid w:val="71D55C91"/>
    <w:rsid w:val="71DE13EC"/>
    <w:rsid w:val="722B37CD"/>
    <w:rsid w:val="72305A9A"/>
    <w:rsid w:val="72427DB1"/>
    <w:rsid w:val="726B260D"/>
    <w:rsid w:val="7331324E"/>
    <w:rsid w:val="73455C21"/>
    <w:rsid w:val="73D425F7"/>
    <w:rsid w:val="74600E53"/>
    <w:rsid w:val="746A0CB1"/>
    <w:rsid w:val="74712AFB"/>
    <w:rsid w:val="750A2023"/>
    <w:rsid w:val="75171C24"/>
    <w:rsid w:val="758D04C2"/>
    <w:rsid w:val="75AD0CCB"/>
    <w:rsid w:val="7615032B"/>
    <w:rsid w:val="76655349"/>
    <w:rsid w:val="7676736A"/>
    <w:rsid w:val="768F29EE"/>
    <w:rsid w:val="76933951"/>
    <w:rsid w:val="771D661B"/>
    <w:rsid w:val="771F7714"/>
    <w:rsid w:val="77207795"/>
    <w:rsid w:val="773903BD"/>
    <w:rsid w:val="77D835AD"/>
    <w:rsid w:val="784E332E"/>
    <w:rsid w:val="78782A0D"/>
    <w:rsid w:val="78C57EA9"/>
    <w:rsid w:val="791A571A"/>
    <w:rsid w:val="79286132"/>
    <w:rsid w:val="79A2171F"/>
    <w:rsid w:val="79A252FF"/>
    <w:rsid w:val="79D33056"/>
    <w:rsid w:val="79E119BE"/>
    <w:rsid w:val="7A124C14"/>
    <w:rsid w:val="7A475E69"/>
    <w:rsid w:val="7A810C37"/>
    <w:rsid w:val="7ABB10EE"/>
    <w:rsid w:val="7B302E56"/>
    <w:rsid w:val="7B350C9D"/>
    <w:rsid w:val="7B9741C7"/>
    <w:rsid w:val="7BD27B88"/>
    <w:rsid w:val="7C26369C"/>
    <w:rsid w:val="7C311CA7"/>
    <w:rsid w:val="7C3933DF"/>
    <w:rsid w:val="7C4A37AF"/>
    <w:rsid w:val="7C9E5A24"/>
    <w:rsid w:val="7CAC00CB"/>
    <w:rsid w:val="7D022178"/>
    <w:rsid w:val="7D575412"/>
    <w:rsid w:val="7D62117D"/>
    <w:rsid w:val="7DB3208B"/>
    <w:rsid w:val="7DB5193A"/>
    <w:rsid w:val="7DB54254"/>
    <w:rsid w:val="7DFA1CAF"/>
    <w:rsid w:val="7E3E1EF2"/>
    <w:rsid w:val="7E951513"/>
    <w:rsid w:val="7EB06086"/>
    <w:rsid w:val="7EC83404"/>
    <w:rsid w:val="7EF74FC9"/>
    <w:rsid w:val="7F5A59DA"/>
    <w:rsid w:val="7F750737"/>
    <w:rsid w:val="7FB901DB"/>
    <w:rsid w:val="7FBB72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5B32F1B-0269-4C61-B663-E2944C68B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style>
  <w:style w:type="paragraph" w:styleId="a4">
    <w:name w:val="Body Text"/>
    <w:basedOn w:val="a"/>
    <w:qFormat/>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0"/>
    <w:uiPriority w:val="99"/>
    <w:semiHidden/>
    <w:unhideWhenUsed/>
    <w:qFormat/>
    <w:pPr>
      <w:spacing w:before="0" w:after="0" w:line="240" w:lineRule="auto"/>
    </w:pPr>
    <w:rPr>
      <w:rFonts w:ascii="Microsoft YaHei UI" w:eastAsia="Microsoft YaHei UI"/>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link w:val="Char1"/>
    <w:semiHidden/>
    <w:qFormat/>
    <w:pPr>
      <w:tabs>
        <w:tab w:val="center" w:pos="4680"/>
        <w:tab w:val="right" w:pos="9360"/>
      </w:tabs>
      <w:spacing w:before="0" w:after="0" w:line="240" w:lineRule="auto"/>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8">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9">
    <w:name w:val="Normal (Web)"/>
    <w:basedOn w:val="a"/>
    <w:uiPriority w:val="99"/>
    <w:unhideWhenUsed/>
    <w:qFormat/>
    <w:pPr>
      <w:spacing w:after="0"/>
      <w:jc w:val="left"/>
    </w:pPr>
    <w:rPr>
      <w:rFonts w:ascii="宋体" w:hAnsi="宋体" w:cs="宋体"/>
      <w:sz w:val="24"/>
      <w:szCs w:val="24"/>
    </w:rPr>
  </w:style>
  <w:style w:type="paragraph" w:styleId="aa">
    <w:name w:val="annotation subject"/>
    <w:basedOn w:val="a3"/>
    <w:next w:val="a3"/>
    <w:link w:val="Char2"/>
    <w:uiPriority w:val="99"/>
    <w:semiHidden/>
    <w:unhideWhenUsed/>
    <w:qFormat/>
    <w:pPr>
      <w:spacing w:line="240" w:lineRule="auto"/>
    </w:pPr>
    <w:rPr>
      <w:b/>
      <w:bCs/>
      <w:sz w:val="20"/>
    </w:rPr>
  </w:style>
  <w:style w:type="table" w:styleId="ab">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99"/>
    <w:qFormat/>
    <w:rPr>
      <w:b/>
      <w:sz w:val="20"/>
      <w:szCs w:val="20"/>
      <w:shd w:val="clear" w:color="auto" w:fill="00A65A"/>
    </w:rPr>
  </w:style>
  <w:style w:type="character" w:styleId="ad">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hd w:val="clear" w:color="auto" w:fill="FFFFFF"/>
    </w:rPr>
  </w:style>
  <w:style w:type="character" w:styleId="ae">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0">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character" w:customStyle="1" w:styleId="apple-converted-space">
    <w:name w:val="apple-converted-space"/>
    <w:basedOn w:val="a0"/>
    <w:qFormat/>
  </w:style>
  <w:style w:type="character" w:customStyle="1" w:styleId="Char0">
    <w:name w:val="批注框文本 Char"/>
    <w:basedOn w:val="a0"/>
    <w:link w:val="a5"/>
    <w:uiPriority w:val="99"/>
    <w:semiHidden/>
    <w:qFormat/>
    <w:rPr>
      <w:rFonts w:ascii="Microsoft YaHei UI" w:eastAsia="Microsoft YaHei UI"/>
      <w:kern w:val="2"/>
      <w:sz w:val="18"/>
      <w:szCs w:val="18"/>
    </w:rPr>
  </w:style>
  <w:style w:type="character" w:customStyle="1" w:styleId="Char">
    <w:name w:val="批注文字 Char"/>
    <w:basedOn w:val="a0"/>
    <w:link w:val="a3"/>
    <w:semiHidden/>
    <w:qFormat/>
    <w:rPr>
      <w:kern w:val="2"/>
      <w:sz w:val="21"/>
    </w:rPr>
  </w:style>
  <w:style w:type="character" w:customStyle="1" w:styleId="Char2">
    <w:name w:val="批注主题 Char"/>
    <w:basedOn w:val="Char"/>
    <w:link w:val="aa"/>
    <w:uiPriority w:val="99"/>
    <w:semiHidden/>
    <w:qFormat/>
    <w:rPr>
      <w:b/>
      <w:bCs/>
      <w:kern w:val="2"/>
      <w:sz w:val="21"/>
    </w:rPr>
  </w:style>
  <w:style w:type="character" w:customStyle="1" w:styleId="Char1">
    <w:name w:val="页眉 Char"/>
    <w:basedOn w:val="a0"/>
    <w:link w:val="a7"/>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2">
    <w:name w:val="修订1"/>
    <w:hidden/>
    <w:uiPriority w:val="99"/>
    <w:semiHidden/>
    <w:qFormat/>
    <w:pPr>
      <w:spacing w:after="0" w:line="240" w:lineRule="auto"/>
    </w:pPr>
    <w:rPr>
      <w:kern w:val="2"/>
      <w:sz w:val="21"/>
    </w:rPr>
  </w:style>
  <w:style w:type="character" w:customStyle="1" w:styleId="hover15">
    <w:name w:val="hover15"/>
    <w:basedOn w:val="a0"/>
    <w:qFormat/>
    <w:rPr>
      <w:shd w:val="clear" w:color="auto" w:fill="EEEEEE"/>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rPr>
  </w:style>
  <w:style w:type="character" w:customStyle="1" w:styleId="hover">
    <w:name w:val="hover"/>
    <w:basedOn w:val="a0"/>
    <w:qFormat/>
    <w:rPr>
      <w:shd w:val="clear" w:color="auto" w:fill="EEEEEE"/>
    </w:rPr>
  </w:style>
  <w:style w:type="paragraph" w:customStyle="1" w:styleId="TAL">
    <w:name w:val="TAL"/>
    <w:basedOn w:val="a"/>
    <w:qFormat/>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6156E6-620B-41FB-B1FE-E7CAE5C5B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1497</Words>
  <Characters>8537</Characters>
  <Application>Microsoft Office Word</Application>
  <DocSecurity>0</DocSecurity>
  <Lines>71</Lines>
  <Paragraphs>20</Paragraphs>
  <ScaleCrop>false</ScaleCrop>
  <Company/>
  <LinksUpToDate>false</LinksUpToDate>
  <CharactersWithSpaces>10014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72</cp:revision>
  <dcterms:created xsi:type="dcterms:W3CDTF">2019-04-08T03:09:00Z</dcterms:created>
  <dcterms:modified xsi:type="dcterms:W3CDTF">2021-05-12T02:31:00Z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